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E2FE68B">
      <w:pPr>
        <w:keepNext/>
        <w:keepLines/>
        <w:spacing w:before="260" w:after="260" w:line="416" w:lineRule="atLeast"/>
        <w:jc w:val="center"/>
        <w:outlineLvl w:val="1"/>
        <w:rPr>
          <w:rFonts w:hint="eastAsia" w:ascii="Times New Roman" w:hAnsi="Times New Roman" w:eastAsia="宋体"/>
          <w:b/>
          <w:bCs/>
          <w:sz w:val="28"/>
          <w:szCs w:val="28"/>
          <w:lang w:eastAsia="zh-CN"/>
        </w:rPr>
      </w:pPr>
    </w:p>
    <w:p w14:paraId="1752A185">
      <w:pPr>
        <w:keepNext/>
        <w:keepLines/>
        <w:spacing w:before="260" w:after="260" w:line="416" w:lineRule="atLeast"/>
        <w:jc w:val="center"/>
        <w:outlineLvl w:val="1"/>
        <w:rPr>
          <w:rFonts w:hint="eastAsia" w:ascii="Times New Roman" w:hAnsi="Times New Roman"/>
          <w:b/>
          <w:bCs/>
          <w:sz w:val="28"/>
          <w:szCs w:val="28"/>
        </w:rPr>
      </w:pPr>
    </w:p>
    <w:p w14:paraId="2C192A5C">
      <w:pPr>
        <w:pStyle w:val="2"/>
        <w:bidi w:val="0"/>
        <w:jc w:val="center"/>
        <w:rPr>
          <w:rFonts w:hint="eastAsia" w:ascii="Times New Roman" w:hAnsi="Times New Roman"/>
          <w:b/>
          <w:bCs/>
          <w:sz w:val="28"/>
          <w:szCs w:val="28"/>
        </w:rPr>
      </w:pPr>
      <w:r>
        <w:rPr>
          <w:rFonts w:hint="eastAsia" w:ascii="微软简老宋" w:hAnsi="微软简老宋" w:eastAsia="微软简老宋" w:cs="微软简老宋"/>
          <w:color w:val="FFFFFF" w:themeColor="background1"/>
          <w:sz w:val="84"/>
          <w:szCs w:val="84"/>
          <w14:textFill>
            <w14:solidFill>
              <w14:schemeClr w14:val="bg1"/>
            </w14:solidFill>
          </w14:textFill>
        </w:rPr>
        <w:t>《</w:t>
      </w:r>
      <w:r>
        <w:rPr>
          <w:rFonts w:hint="eastAsia" w:ascii="微软简老宋" w:hAnsi="微软简老宋" w:eastAsia="微软简老宋" w:cs="微软简老宋"/>
          <w:color w:val="FFFFFF" w:themeColor="background1"/>
          <w:sz w:val="84"/>
          <w:szCs w:val="84"/>
          <w:lang w:val="en-US" w:eastAsia="zh-CN"/>
          <w14:textFill>
            <w14:solidFill>
              <w14:schemeClr w14:val="bg1"/>
            </w14:solidFill>
          </w14:textFill>
        </w:rPr>
        <w:t>临床医学概论</w:t>
      </w:r>
      <w:r>
        <w:rPr>
          <w:rFonts w:hint="eastAsia" w:ascii="微软简老宋" w:hAnsi="微软简老宋" w:eastAsia="微软简老宋" w:cs="微软简老宋"/>
          <w:color w:val="FFFFFF" w:themeColor="background1"/>
          <w:sz w:val="84"/>
          <w:szCs w:val="84"/>
          <w14:textFill>
            <w14:solidFill>
              <w14:schemeClr w14:val="bg1"/>
            </w14:solidFill>
          </w14:textFill>
        </w:rPr>
        <w:t>》</w:t>
      </w:r>
    </w:p>
    <w:p w14:paraId="2BCF7129">
      <w:pPr>
        <w:keepNext/>
        <w:keepLines/>
        <w:spacing w:before="260" w:after="260" w:line="416" w:lineRule="atLeast"/>
        <w:jc w:val="center"/>
        <w:outlineLvl w:val="1"/>
        <w:rPr>
          <w:rFonts w:hint="eastAsia" w:ascii="Times New Roman" w:hAnsi="Times New Roman"/>
          <w:b/>
          <w:bCs/>
          <w:sz w:val="52"/>
          <w:szCs w:val="52"/>
        </w:rPr>
      </w:pPr>
      <w:r>
        <w:rPr>
          <w:rFonts w:hint="eastAsia" w:ascii="Times New Roman" w:hAnsi="Times New Roman"/>
          <w:b/>
          <w:bCs/>
          <w:sz w:val="52"/>
          <w:szCs w:val="52"/>
        </w:rPr>
        <w:t>（第二版）</w:t>
      </w:r>
    </w:p>
    <w:p w14:paraId="23AD385F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52"/>
          <w:szCs w:val="52"/>
        </w:rPr>
      </w:pPr>
    </w:p>
    <w:p w14:paraId="4C1314DC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52"/>
          <w:szCs w:val="52"/>
        </w:rPr>
      </w:pPr>
    </w:p>
    <w:p w14:paraId="21545871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30"/>
          <w:szCs w:val="30"/>
          <w:lang w:val="en-US" w:eastAsia="zh-CN"/>
        </w:rPr>
      </w:pPr>
    </w:p>
    <w:p w14:paraId="72DD4894">
      <w:pPr>
        <w:keepNext/>
        <w:keepLines/>
        <w:spacing w:before="260" w:after="260" w:line="240" w:lineRule="auto"/>
        <w:jc w:val="center"/>
        <w:outlineLvl w:val="1"/>
        <w:rPr>
          <w:rFonts w:hint="default" w:ascii="Times New Roman" w:hAnsi="Times New Roman" w:eastAsia="宋体"/>
          <w:b/>
          <w:bCs/>
          <w:sz w:val="52"/>
          <w:szCs w:val="52"/>
          <w:lang w:val="en-US" w:eastAsia="zh-CN"/>
        </w:rPr>
      </w:pPr>
      <w:r>
        <w:rPr>
          <w:rFonts w:hint="eastAsia" w:ascii="Times New Roman" w:hAnsi="Times New Roman"/>
          <w:b/>
          <w:bCs/>
          <w:sz w:val="30"/>
          <w:szCs w:val="30"/>
          <w:lang w:val="en-US" w:eastAsia="zh-CN"/>
        </w:rPr>
        <w:t>中南大学出版社</w:t>
      </w:r>
    </w:p>
    <w:p w14:paraId="5E81C5F3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52"/>
          <w:szCs w:val="52"/>
        </w:rPr>
      </w:pPr>
    </w:p>
    <w:p w14:paraId="412EDB9B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52"/>
          <w:szCs w:val="52"/>
        </w:rPr>
      </w:pPr>
    </w:p>
    <w:p w14:paraId="1DE0F138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52"/>
          <w:szCs w:val="52"/>
        </w:rPr>
      </w:pPr>
    </w:p>
    <w:p w14:paraId="7F875E9A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28"/>
          <w:szCs w:val="28"/>
        </w:rPr>
      </w:pPr>
    </w:p>
    <w:p w14:paraId="25768923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28"/>
          <w:szCs w:val="28"/>
        </w:rPr>
      </w:pPr>
    </w:p>
    <w:p w14:paraId="7B0338A8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28"/>
          <w:szCs w:val="28"/>
        </w:rPr>
      </w:pPr>
    </w:p>
    <w:p w14:paraId="00F1166D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28"/>
          <w:szCs w:val="28"/>
        </w:rPr>
      </w:pPr>
    </w:p>
    <w:p w14:paraId="23BA17FF">
      <w:pPr>
        <w:keepNext/>
        <w:keepLines/>
        <w:spacing w:before="260" w:after="260" w:line="240" w:lineRule="auto"/>
        <w:jc w:val="center"/>
        <w:outlineLvl w:val="1"/>
        <w:rPr>
          <w:rFonts w:hint="eastAsia" w:ascii="Times New Roman" w:hAnsi="Times New Roman"/>
          <w:b/>
          <w:bCs/>
          <w:sz w:val="28"/>
          <w:szCs w:val="28"/>
        </w:rPr>
      </w:pPr>
    </w:p>
    <w:p w14:paraId="4CE1FFFF">
      <w:pPr>
        <w:keepNext/>
        <w:keepLines/>
        <w:spacing w:before="260" w:after="260" w:line="240" w:lineRule="auto"/>
        <w:jc w:val="both"/>
        <w:outlineLvl w:val="1"/>
        <w:rPr>
          <w:rFonts w:hint="eastAsia" w:ascii="Times New Roman" w:hAnsi="Times New Roman"/>
          <w:b/>
          <w:bCs/>
          <w:sz w:val="28"/>
          <w:szCs w:val="28"/>
        </w:rPr>
        <w:sectPr>
          <w:headerReference r:id="rId4" w:type="first"/>
          <w:headerReference r:id="rId3" w:type="default"/>
          <w:pgSz w:w="11906" w:h="16838"/>
          <w:pgMar w:top="0" w:right="170" w:bottom="0" w:left="170" w:header="567" w:footer="85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titlePg/>
          <w:docGrid w:type="lines" w:linePitch="312" w:charSpace="0"/>
        </w:sectPr>
      </w:pPr>
    </w:p>
    <w:p w14:paraId="29D5CC5B">
      <w:pPr>
        <w:keepNext/>
        <w:keepLines/>
        <w:spacing w:before="260" w:after="260" w:line="416" w:lineRule="atLeast"/>
        <w:jc w:val="center"/>
        <w:outlineLvl w:val="1"/>
        <w:rPr>
          <w:rFonts w:hint="eastAsia" w:ascii="Times New Roman" w:hAnsi="Times New Roman" w:eastAsia="宋体"/>
          <w:b/>
          <w:bCs/>
          <w:color w:val="00B0F0"/>
          <w:sz w:val="28"/>
          <w:szCs w:val="28"/>
          <w:lang w:eastAsia="zh-CN"/>
        </w:rPr>
      </w:pPr>
      <w:r>
        <w:rPr>
          <w:rFonts w:hint="eastAsia" w:ascii="微软简老宋" w:hAnsi="微软简老宋" w:eastAsia="微软简老宋" w:cs="微软简老宋"/>
          <w:b w:val="0"/>
          <w:bCs w:val="0"/>
          <w:color w:val="00B0F0"/>
          <w:sz w:val="32"/>
          <w:szCs w:val="32"/>
          <w:lang w:val="en-US" w:eastAsia="zh-CN"/>
        </w:rPr>
        <w:t xml:space="preserve">项目六  循环系统疾病 </w:t>
      </w:r>
    </w:p>
    <w:tbl>
      <w:tblPr>
        <w:tblStyle w:val="10"/>
        <w:tblW w:w="10488" w:type="dxa"/>
        <w:jc w:val="center"/>
        <w:tblBorders>
          <w:top w:val="double" w:color="00B0F0" w:sz="4" w:space="0"/>
          <w:left w:val="double" w:color="00B0F0" w:sz="4" w:space="0"/>
          <w:bottom w:val="double" w:color="00B0F0" w:sz="4" w:space="0"/>
          <w:right w:val="double" w:color="00B0F0" w:sz="4" w:space="0"/>
          <w:insideH w:val="single" w:color="4472C4" w:themeColor="accent5" w:sz="4" w:space="0"/>
          <w:insideV w:val="single" w:color="4472C4" w:themeColor="accent5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84"/>
        <w:gridCol w:w="7208"/>
        <w:gridCol w:w="1696"/>
      </w:tblGrid>
      <w:tr w14:paraId="3384969C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2478157A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课</w:t>
            </w:r>
            <w:r>
              <w:rPr>
                <w:rFonts w:hint="eastAsia" w:ascii="Times New Roman" w:hAnsi="Times New Roman"/>
                <w:b/>
                <w:sz w:val="24"/>
                <w:szCs w:val="24"/>
              </w:rPr>
              <w:t>题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35FA90CE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 w:eastAsia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宋体"/>
                <w:b/>
                <w:bCs/>
                <w:color w:val="00B0F0"/>
                <w:sz w:val="32"/>
                <w:szCs w:val="32"/>
                <w:lang w:val="en-US" w:eastAsia="zh-CN"/>
              </w:rPr>
              <w:t xml:space="preserve"> 循环系统疾病</w:t>
            </w:r>
          </w:p>
        </w:tc>
      </w:tr>
      <w:tr w14:paraId="38763524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54D3FE42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课时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50F2858C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leftChars="0" w:right="0" w:rightChars="0" w:hanging="8" w:firstLineChars="0"/>
              <w:textAlignment w:val="auto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宋体"/>
                <w:szCs w:val="20"/>
                <w:lang w:val="en-US" w:eastAsia="zh-CN"/>
              </w:rPr>
              <w:t>3</w:t>
            </w:r>
            <w:r>
              <w:rPr>
                <w:rFonts w:hint="default" w:ascii="Times New Roman" w:hAnsi="宋体"/>
                <w:szCs w:val="20"/>
              </w:rPr>
              <w:t>课时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135</w:t>
            </w:r>
            <w:r>
              <w:rPr>
                <w:rFonts w:hint="eastAsia" w:ascii="Times New Roman" w:hAnsi="宋体"/>
                <w:szCs w:val="20"/>
              </w:rPr>
              <w:t xml:space="preserve"> min）。</w:t>
            </w:r>
          </w:p>
        </w:tc>
      </w:tr>
      <w:tr w14:paraId="061FC37A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2B3F2A47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教学目标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40DAA36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 w:hanging="8"/>
              <w:textAlignment w:val="auto"/>
              <w:rPr>
                <w:rFonts w:hint="default"/>
                <w:b/>
              </w:rPr>
            </w:pPr>
            <w:r>
              <w:rPr>
                <w:rFonts w:hint="default" w:hAnsi="宋体"/>
                <w:b/>
              </w:rPr>
              <w:t>知识目标：</w:t>
            </w:r>
          </w:p>
          <w:p w14:paraId="50DA39F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eastAsia" w:ascii="Times New Roman" w:hAnsi="宋体"/>
                <w:szCs w:val="20"/>
              </w:rPr>
            </w:pPr>
            <w:r>
              <w:rPr>
                <w:rFonts w:hint="default" w:ascii="Times New Roman" w:hAnsi="宋体"/>
                <w:szCs w:val="20"/>
                <w:lang w:val="en-US" w:eastAsia="zh-CN"/>
              </w:rPr>
              <w:t xml:space="preserve">1. 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 xml:space="preserve">掌握常见循环系统疾病的临床表现、诊断、治疗。 </w:t>
            </w:r>
          </w:p>
          <w:p w14:paraId="4482D198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default" w:ascii="Times New Roman" w:hAnsi="宋体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szCs w:val="20"/>
                <w:lang w:val="en-US" w:eastAsia="zh-CN"/>
              </w:rPr>
              <w:t>2. 熟悉常见循环系统疾病的病因及发病机制。</w:t>
            </w:r>
          </w:p>
          <w:p w14:paraId="405981B6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eastAsia" w:ascii="Times New Roman" w:hAnsi="宋体"/>
                <w:b/>
                <w:bCs/>
                <w:szCs w:val="20"/>
                <w:lang w:val="en-US" w:eastAsia="zh-CN"/>
              </w:rPr>
            </w:pPr>
            <w:r>
              <w:rPr>
                <w:rFonts w:hint="eastAsia" w:ascii="Times New Roman" w:hAnsi="宋体"/>
                <w:b/>
                <w:bCs/>
                <w:szCs w:val="20"/>
                <w:lang w:val="en-US" w:eastAsia="zh-CN"/>
              </w:rPr>
              <w:t>能力目标：</w:t>
            </w:r>
          </w:p>
          <w:p w14:paraId="292FA446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210" w:leftChars="100" w:right="0" w:firstLine="201" w:firstLineChars="96"/>
              <w:textAlignment w:val="auto"/>
              <w:rPr>
                <w:rFonts w:hint="default" w:ascii="Times New Roman" w:hAnsi="宋体"/>
                <w:b w:val="0"/>
                <w:bCs w:val="0"/>
                <w:szCs w:val="20"/>
                <w:lang w:val="en-US" w:eastAsia="zh-CN"/>
              </w:rPr>
            </w:pPr>
            <w:r>
              <w:rPr>
                <w:rFonts w:hint="eastAsia" w:ascii="Times New Roman" w:hAnsi="宋体"/>
                <w:b w:val="0"/>
                <w:bCs w:val="0"/>
                <w:szCs w:val="20"/>
                <w:lang w:val="en-US" w:eastAsia="zh-CN"/>
              </w:rPr>
              <w:t>能够对循环系统疾病做出初步诊断，学会循环系统疾病的基本诊断技能。</w:t>
            </w:r>
          </w:p>
          <w:p w14:paraId="07A18D5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eastAsia" w:ascii="Times New Roman" w:hAnsi="Times New Roman"/>
                <w:b/>
                <w:szCs w:val="20"/>
                <w:lang w:val="en-US" w:eastAsia="zh-CN"/>
              </w:rPr>
              <w:t>素质</w:t>
            </w:r>
            <w:r>
              <w:rPr>
                <w:rFonts w:hint="default" w:ascii="Times New Roman" w:hAnsi="Times New Roman"/>
                <w:b/>
                <w:szCs w:val="20"/>
              </w:rPr>
              <w:t>目标</w:t>
            </w:r>
            <w:r>
              <w:rPr>
                <w:rFonts w:hint="eastAsia" w:ascii="Times New Roman" w:hAnsi="Times New Roman"/>
                <w:b/>
                <w:szCs w:val="20"/>
              </w:rPr>
              <w:t>：</w:t>
            </w:r>
          </w:p>
          <w:p w14:paraId="4D16C3F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-6" w:leftChars="0" w:right="0" w:rightChars="0" w:firstLine="420" w:firstLineChars="200"/>
              <w:textAlignment w:val="auto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ascii="宋体" w:hAnsi="宋体" w:eastAsia="宋体" w:cs="宋体"/>
                <w:color w:val="auto"/>
                <w:sz w:val="21"/>
                <w:szCs w:val="21"/>
              </w:rPr>
              <w:t>学会尊重、关爱护患者，</w:t>
            </w:r>
            <w:r>
              <w:rPr>
                <w:rFonts w:hint="eastAsia" w:ascii="宋体" w:hAnsi="宋体" w:cs="宋体"/>
                <w:color w:val="auto"/>
                <w:sz w:val="21"/>
                <w:szCs w:val="21"/>
                <w:lang w:eastAsia="zh-CN"/>
              </w:rPr>
              <w:t>培养</w:t>
            </w:r>
            <w:r>
              <w:rPr>
                <w:rFonts w:ascii="宋体" w:hAnsi="宋体" w:eastAsia="宋体" w:cs="宋体"/>
                <w:color w:val="auto"/>
                <w:sz w:val="21"/>
                <w:szCs w:val="21"/>
              </w:rPr>
              <w:t>认真负责、严谨缜密的工作态度，强化团队协作意识，发挥团队优势</w:t>
            </w:r>
            <w:r>
              <w:rPr>
                <w:rFonts w:hint="eastAsia" w:ascii="宋体" w:hAnsi="宋体" w:cs="宋体"/>
                <w:color w:val="auto"/>
                <w:sz w:val="21"/>
                <w:szCs w:val="21"/>
                <w:lang w:eastAsia="zh-CN"/>
              </w:rPr>
              <w:t>。</w:t>
            </w:r>
          </w:p>
        </w:tc>
      </w:tr>
      <w:tr w14:paraId="32856297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51A560BB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宋体"/>
                <w:b/>
                <w:sz w:val="24"/>
                <w:szCs w:val="24"/>
              </w:rPr>
            </w:pPr>
            <w:bookmarkStart w:id="0" w:name="_GoBack"/>
            <w:r>
              <w:rPr>
                <w:rFonts w:hint="default" w:ascii="Times New Roman" w:hAnsi="宋体"/>
                <w:b/>
                <w:sz w:val="24"/>
                <w:szCs w:val="24"/>
              </w:rPr>
              <w:t>教学重</w:t>
            </w:r>
            <w:r>
              <w:rPr>
                <w:rFonts w:hint="eastAsia" w:ascii="Times New Roman" w:hAnsi="宋体"/>
                <w:b/>
                <w:sz w:val="24"/>
                <w:szCs w:val="24"/>
              </w:rPr>
              <w:t>难</w:t>
            </w:r>
            <w:r>
              <w:rPr>
                <w:rFonts w:hint="default" w:ascii="Times New Roman" w:hAnsi="宋体"/>
                <w:b/>
                <w:sz w:val="24"/>
                <w:szCs w:val="24"/>
              </w:rPr>
              <w:t>点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0942338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rFonts w:hint="eastAsia" w:ascii="Times New Roman" w:hAnsi="Times New Roman" w:eastAsia="宋体"/>
                <w:szCs w:val="20"/>
                <w:lang w:eastAsia="zh-CN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教学重点：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原发性高血压</w:t>
            </w:r>
          </w:p>
          <w:p w14:paraId="28661F2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leftChars="0" w:right="0" w:rightChars="0"/>
              <w:jc w:val="left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教学难点：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循环系统疾病</w:t>
            </w:r>
          </w:p>
        </w:tc>
      </w:tr>
      <w:bookmarkEnd w:id="0"/>
      <w:tr w14:paraId="4FD69666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4106A65A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教学方法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65CC6B2B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leftChars="0" w:right="0" w:rightChars="0" w:hanging="8" w:firstLineChars="0"/>
              <w:textAlignment w:val="auto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宋体"/>
                <w:szCs w:val="20"/>
              </w:rPr>
              <w:t>讲授法、问答法、讨论法</w:t>
            </w:r>
          </w:p>
        </w:tc>
      </w:tr>
      <w:tr w14:paraId="6248C57F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11A4FBAE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教学用具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573BEBB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leftChars="0" w:right="0" w:rightChars="0" w:hanging="8" w:firstLineChars="0"/>
              <w:textAlignment w:val="auto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宋体"/>
                <w:szCs w:val="20"/>
              </w:rPr>
              <w:t>电脑、投影仪、</w:t>
            </w:r>
            <w:r>
              <w:rPr>
                <w:rFonts w:hint="default" w:ascii="Times New Roman" w:hAnsi="宋体"/>
                <w:szCs w:val="20"/>
              </w:rPr>
              <w:t>多媒体</w:t>
            </w:r>
            <w:r>
              <w:rPr>
                <w:rFonts w:hint="eastAsia" w:ascii="Times New Roman" w:hAnsi="宋体"/>
                <w:szCs w:val="20"/>
              </w:rPr>
              <w:t>课件、教材</w:t>
            </w:r>
          </w:p>
        </w:tc>
      </w:tr>
      <w:tr w14:paraId="77732F88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276" w:type="dxa"/>
            <w:tcBorders>
              <w:bottom w:val="double" w:color="4472C4" w:themeColor="accent5" w:sz="4" w:space="0"/>
              <w:tl2br w:val="nil"/>
              <w:tr2bl w:val="nil"/>
            </w:tcBorders>
            <w:shd w:val="clear" w:color="auto" w:fill="B7F1FF"/>
            <w:vAlign w:val="center"/>
          </w:tcPr>
          <w:p w14:paraId="6949DB5B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宋体"/>
                <w:b/>
                <w:sz w:val="24"/>
                <w:szCs w:val="24"/>
              </w:rPr>
            </w:pPr>
            <w:r>
              <w:rPr>
                <w:rFonts w:hint="default" w:ascii="Times New Roman" w:hAnsi="宋体"/>
                <w:b/>
                <w:sz w:val="24"/>
                <w:szCs w:val="24"/>
              </w:rPr>
              <w:t>教学设计</w:t>
            </w:r>
          </w:p>
        </w:tc>
        <w:tc>
          <w:tcPr>
            <w:tcW w:w="7173" w:type="dxa"/>
            <w:gridSpan w:val="2"/>
            <w:tcBorders>
              <w:bottom w:val="double" w:color="4472C4" w:themeColor="accent5" w:sz="4" w:space="0"/>
              <w:tl2br w:val="nil"/>
              <w:tr2bl w:val="nil"/>
            </w:tcBorders>
            <w:vAlign w:val="center"/>
          </w:tcPr>
          <w:p w14:paraId="574D4E98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default" w:ascii="Times New Roman" w:hAnsi="宋体" w:eastAsia="宋体"/>
                <w:szCs w:val="20"/>
                <w:lang w:val="en-US" w:eastAsia="zh-CN"/>
              </w:rPr>
            </w:pPr>
            <w:r>
              <w:rPr>
                <w:rFonts w:hint="eastAsia" w:ascii="Times New Roman" w:hAnsi="宋体"/>
                <w:kern w:val="0"/>
                <w:szCs w:val="20"/>
              </w:rPr>
              <w:t>第</w:t>
            </w:r>
            <w:r>
              <w:rPr>
                <w:rFonts w:hint="default" w:ascii="Times New Roman" w:hAnsi="宋体"/>
                <w:kern w:val="0"/>
                <w:szCs w:val="20"/>
              </w:rPr>
              <w:t>1</w:t>
            </w:r>
            <w:r>
              <w:rPr>
                <w:rFonts w:hint="eastAsia" w:ascii="Times New Roman" w:hAnsi="宋体"/>
                <w:kern w:val="0"/>
                <w:szCs w:val="20"/>
              </w:rPr>
              <w:t>节课：</w:t>
            </w:r>
            <w:r>
              <w:rPr>
                <w:rFonts w:hint="eastAsia" w:ascii="Times New Roman" w:hAnsi="宋体"/>
                <w:szCs w:val="20"/>
                <w:lang w:eastAsia="zh-CN"/>
              </w:rPr>
              <w:t>考勤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2</w:t>
            </w:r>
            <w:r>
              <w:rPr>
                <w:rFonts w:hint="eastAsia" w:ascii="Times New Roman" w:hAnsi="宋体"/>
                <w:szCs w:val="20"/>
              </w:rPr>
              <w:t>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知识讲解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default" w:ascii="Times New Roman" w:hAnsi="宋体"/>
                <w:szCs w:val="20"/>
              </w:rPr>
              <w:t>40</w:t>
            </w:r>
            <w:r>
              <w:rPr>
                <w:rFonts w:hint="eastAsia" w:ascii="Times New Roman" w:hAnsi="宋体"/>
                <w:szCs w:val="20"/>
              </w:rPr>
              <w:t>min）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--作业布置（3min）</w:t>
            </w:r>
          </w:p>
          <w:p w14:paraId="28E557B5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default" w:ascii="Times New Roman" w:hAnsi="宋体" w:eastAsia="宋体"/>
                <w:szCs w:val="20"/>
                <w:lang w:val="en-US" w:eastAsia="zh-CN"/>
              </w:rPr>
            </w:pPr>
            <w:r>
              <w:rPr>
                <w:rFonts w:hint="eastAsia" w:ascii="Times New Roman" w:hAnsi="宋体"/>
                <w:kern w:val="0"/>
                <w:szCs w:val="20"/>
              </w:rPr>
              <w:t>第</w:t>
            </w:r>
            <w:r>
              <w:rPr>
                <w:rFonts w:hint="default" w:ascii="Times New Roman" w:hAnsi="宋体"/>
                <w:kern w:val="0"/>
                <w:szCs w:val="20"/>
              </w:rPr>
              <w:t>2</w:t>
            </w:r>
            <w:r>
              <w:rPr>
                <w:rFonts w:hint="eastAsia" w:ascii="Times New Roman" w:hAnsi="宋体"/>
                <w:kern w:val="0"/>
                <w:szCs w:val="20"/>
              </w:rPr>
              <w:t>节课：</w:t>
            </w:r>
            <w:r>
              <w:rPr>
                <w:rFonts w:hint="eastAsia" w:ascii="Times New Roman" w:hAnsi="宋体"/>
                <w:szCs w:val="20"/>
                <w:lang w:eastAsia="zh-CN"/>
              </w:rPr>
              <w:t>知识讲解</w:t>
            </w:r>
            <w:r>
              <w:rPr>
                <w:rFonts w:hint="eastAsia" w:ascii="Times New Roman" w:hAnsi="宋体"/>
                <w:szCs w:val="20"/>
              </w:rPr>
              <w:t>（40min）--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课堂小结</w:t>
            </w:r>
            <w:r>
              <w:rPr>
                <w:rFonts w:hint="eastAsia" w:ascii="Times New Roman" w:hAnsi="宋体"/>
                <w:szCs w:val="20"/>
              </w:rPr>
              <w:t>（3min）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--作业布置（2min）</w:t>
            </w:r>
          </w:p>
          <w:p w14:paraId="4E8A070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leftChars="0" w:right="0" w:rightChars="0" w:hanging="8" w:firstLineChars="0"/>
              <w:textAlignment w:val="auto"/>
              <w:rPr>
                <w:rFonts w:hint="default" w:ascii="Times New Roman" w:hAnsi="宋体"/>
                <w:sz w:val="24"/>
                <w:szCs w:val="24"/>
              </w:rPr>
            </w:pPr>
            <w:r>
              <w:rPr>
                <w:rFonts w:hint="eastAsia" w:ascii="Times New Roman" w:hAnsi="宋体"/>
                <w:kern w:val="0"/>
                <w:szCs w:val="20"/>
              </w:rPr>
              <w:t>第</w:t>
            </w:r>
            <w:r>
              <w:rPr>
                <w:rFonts w:hint="default" w:ascii="Times New Roman" w:hAnsi="宋体"/>
                <w:kern w:val="0"/>
                <w:szCs w:val="20"/>
              </w:rPr>
              <w:t>3</w:t>
            </w:r>
            <w:r>
              <w:rPr>
                <w:rFonts w:hint="eastAsia" w:ascii="Times New Roman" w:hAnsi="宋体"/>
                <w:kern w:val="0"/>
                <w:szCs w:val="20"/>
              </w:rPr>
              <w:t>节课：</w:t>
            </w:r>
            <w:r>
              <w:rPr>
                <w:rFonts w:hint="eastAsia" w:ascii="Times New Roman" w:hAnsi="宋体"/>
                <w:szCs w:val="20"/>
                <w:lang w:eastAsia="zh-CN"/>
              </w:rPr>
              <w:t>知识讲解</w:t>
            </w:r>
            <w:r>
              <w:rPr>
                <w:rFonts w:hint="eastAsia" w:ascii="Times New Roman" w:hAnsi="宋体"/>
                <w:szCs w:val="20"/>
              </w:rPr>
              <w:t>（40min）--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课堂小结</w:t>
            </w:r>
            <w:r>
              <w:rPr>
                <w:rFonts w:hint="eastAsia" w:ascii="Times New Roman" w:hAnsi="宋体"/>
                <w:szCs w:val="20"/>
              </w:rPr>
              <w:t>（3min）--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作业布置</w:t>
            </w:r>
            <w:r>
              <w:rPr>
                <w:rFonts w:hint="eastAsia" w:ascii="Times New Roman" w:hAnsi="宋体"/>
                <w:szCs w:val="20"/>
              </w:rPr>
              <w:t>（2min）</w:t>
            </w:r>
          </w:p>
        </w:tc>
      </w:tr>
      <w:tr w14:paraId="0B7D0395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276" w:type="dxa"/>
            <w:tcBorders>
              <w:top w:val="double" w:color="4472C4" w:themeColor="accent5" w:sz="4" w:space="0"/>
              <w:bottom w:val="double" w:color="4472C4" w:themeColor="accent5" w:sz="4" w:space="0"/>
            </w:tcBorders>
            <w:shd w:val="clear" w:color="auto" w:fill="00B0F0"/>
            <w:vAlign w:val="center"/>
          </w:tcPr>
          <w:p w14:paraId="08947511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bCs w:val="0"/>
                <w:color w:val="FFFFFF" w:themeColor="background1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Times New Roman" w:hAnsi="Times New Roman"/>
                <w:b/>
                <w:bCs w:val="0"/>
                <w:color w:val="FFFFFF" w:themeColor="background1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  <w:t>教学过程</w:t>
            </w:r>
          </w:p>
        </w:tc>
        <w:tc>
          <w:tcPr>
            <w:tcW w:w="5807" w:type="dxa"/>
            <w:tcBorders>
              <w:top w:val="double" w:color="4472C4" w:themeColor="accent5" w:sz="4" w:space="0"/>
              <w:bottom w:val="double" w:color="4472C4" w:themeColor="accent5" w:sz="4" w:space="0"/>
            </w:tcBorders>
            <w:shd w:val="clear" w:color="auto" w:fill="00B0F0"/>
            <w:vAlign w:val="center"/>
          </w:tcPr>
          <w:p w14:paraId="0DCD2181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Times New Roman" w:hAnsi="Times New Roman"/>
                <w:b/>
                <w:bCs w:val="0"/>
                <w:color w:val="FFFFFF" w:themeColor="background1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Times New Roman" w:hAnsi="Times New Roman"/>
                <w:b/>
                <w:bCs w:val="0"/>
                <w:color w:val="FFFFFF" w:themeColor="background1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  <w:t>主要教学内容及步骤</w:t>
            </w:r>
          </w:p>
        </w:tc>
        <w:tc>
          <w:tcPr>
            <w:tcW w:w="1366" w:type="dxa"/>
            <w:tcBorders>
              <w:top w:val="double" w:color="4472C4" w:themeColor="accent5" w:sz="4" w:space="0"/>
              <w:bottom w:val="double" w:color="4472C4" w:themeColor="accent5" w:sz="4" w:space="0"/>
            </w:tcBorders>
            <w:shd w:val="clear" w:color="auto" w:fill="00B0F0"/>
            <w:vAlign w:val="center"/>
          </w:tcPr>
          <w:p w14:paraId="2AB6DCBA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Times New Roman" w:hAnsi="Times New Roman"/>
                <w:b/>
                <w:bCs w:val="0"/>
                <w:color w:val="FFFFFF" w:themeColor="background1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default" w:ascii="Times New Roman" w:hAnsi="Times New Roman"/>
                <w:b/>
                <w:bCs w:val="0"/>
                <w:color w:val="FFFFFF" w:themeColor="background1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  <w:t>设计意图</w:t>
            </w:r>
          </w:p>
        </w:tc>
      </w:tr>
      <w:tr w14:paraId="199800F5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276" w:type="dxa"/>
            <w:tcBorders>
              <w:top w:val="double" w:color="4472C4" w:themeColor="accent5" w:sz="4" w:space="0"/>
              <w:tl2br w:val="nil"/>
              <w:tr2bl w:val="nil"/>
            </w:tcBorders>
            <w:shd w:val="clear" w:color="auto" w:fill="B7F1FF"/>
            <w:vAlign w:val="center"/>
          </w:tcPr>
          <w:p w14:paraId="38ABB63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jc w:val="center"/>
              <w:textAlignment w:val="auto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考勤</w:t>
            </w:r>
          </w:p>
          <w:p w14:paraId="41F3913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leftChars="0" w:right="0" w:rightChars="0" w:hanging="8" w:firstLineChars="0"/>
              <w:jc w:val="center"/>
              <w:textAlignment w:val="auto"/>
              <w:rPr>
                <w:rFonts w:hint="eastAsia" w:ascii="Times New Roman" w:hAnsi="Times New Roman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（</w:t>
            </w: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2min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）</w:t>
            </w:r>
          </w:p>
        </w:tc>
        <w:tc>
          <w:tcPr>
            <w:tcW w:w="5807" w:type="dxa"/>
            <w:tcBorders>
              <w:top w:val="double" w:color="4472C4" w:themeColor="accent5" w:sz="4" w:space="0"/>
              <w:tl2br w:val="nil"/>
              <w:tr2bl w:val="nil"/>
            </w:tcBorders>
            <w:vAlign w:val="center"/>
          </w:tcPr>
          <w:p w14:paraId="4EE22B9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color w:val="C00000"/>
                <w:szCs w:val="24"/>
              </w:rPr>
            </w:pPr>
            <w:r>
              <w:rPr>
                <w:rFonts w:hint="eastAsia" w:ascii="Times New Roman" w:hAnsi="Times New Roman"/>
                <w:color w:val="C00000"/>
                <w:szCs w:val="24"/>
              </w:rPr>
              <w:t>■</w:t>
            </w:r>
            <w:r>
              <w:rPr>
                <w:rFonts w:hint="eastAsia" w:ascii="Times New Roman" w:hAnsi="Times New Roman"/>
                <w:color w:val="C00000"/>
                <w:szCs w:val="24"/>
                <w:lang w:eastAsia="zh-CN"/>
              </w:rPr>
              <w:t>【教师】</w:t>
            </w:r>
            <w:r>
              <w:rPr>
                <w:rFonts w:hint="eastAsia" w:ascii="Times New Roman" w:hAnsi="Times New Roman"/>
                <w:color w:val="C00000"/>
                <w:szCs w:val="24"/>
              </w:rPr>
              <w:t>清点上课人数，记录好考勤</w:t>
            </w:r>
          </w:p>
          <w:p w14:paraId="6F65572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360" w:lineRule="auto"/>
              <w:ind w:left="0" w:leftChars="0" w:right="0" w:rightChars="0"/>
              <w:jc w:val="left"/>
              <w:textAlignment w:val="auto"/>
              <w:rPr>
                <w:rFonts w:hint="eastAsia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548235" w:themeColor="accent6" w:themeShade="BF"/>
                <w:szCs w:val="24"/>
              </w:rPr>
              <w:t>■</w:t>
            </w:r>
            <w:r>
              <w:rPr>
                <w:rFonts w:hint="eastAsia" w:ascii="Times New Roman" w:hAnsi="Times New Roman"/>
                <w:color w:val="548235" w:themeColor="accent6" w:themeShade="BF"/>
                <w:szCs w:val="24"/>
                <w:lang w:eastAsia="zh-CN"/>
              </w:rPr>
              <w:t>【学生】</w:t>
            </w:r>
            <w:r>
              <w:rPr>
                <w:rFonts w:hint="eastAsia" w:ascii="Times New Roman" w:hAnsi="Times New Roman"/>
                <w:color w:val="548235" w:themeColor="accent6" w:themeShade="BF"/>
                <w:szCs w:val="24"/>
              </w:rPr>
              <w:t>班干部报请假人员及原因</w:t>
            </w:r>
          </w:p>
        </w:tc>
        <w:tc>
          <w:tcPr>
            <w:tcW w:w="1366" w:type="dxa"/>
            <w:tcBorders>
              <w:top w:val="double" w:color="4472C4" w:themeColor="accent5" w:sz="4" w:space="0"/>
              <w:tl2br w:val="nil"/>
              <w:tr2bl w:val="nil"/>
            </w:tcBorders>
            <w:vAlign w:val="center"/>
          </w:tcPr>
          <w:p w14:paraId="47E834E0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leftChars="0" w:right="0" w:rightChars="0"/>
              <w:jc w:val="center"/>
              <w:textAlignment w:val="auto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Cs w:val="20"/>
              </w:rPr>
              <w:t>培养学生的组织纪律性,掌握学生的出勤情况</w:t>
            </w:r>
          </w:p>
        </w:tc>
      </w:tr>
      <w:tr w14:paraId="07096F75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610B664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/>
              <w:textAlignment w:val="auto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</w:p>
          <w:p w14:paraId="2A5BD324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/>
              <w:textAlignment w:val="auto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</w:p>
          <w:p w14:paraId="55438AD2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/>
              <w:textAlignment w:val="auto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</w:p>
          <w:p w14:paraId="3FD6C5FC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/>
              <w:textAlignment w:val="auto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</w:p>
          <w:p w14:paraId="7FFC6F1C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leftChars="0" w:right="0" w:rightChars="0" w:hanging="8" w:firstLineChars="0"/>
              <w:jc w:val="center"/>
              <w:textAlignment w:val="auto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/>
                <w:szCs w:val="24"/>
              </w:rPr>
              <w:t>（</w:t>
            </w:r>
            <w:r>
              <w:rPr>
                <w:rFonts w:hint="eastAsia" w:ascii="Times New Roman" w:hAnsi="Times New Roman"/>
                <w:szCs w:val="24"/>
                <w:lang w:val="en-US" w:eastAsia="zh-CN"/>
              </w:rPr>
              <w:t>40</w:t>
            </w:r>
            <w:r>
              <w:rPr>
                <w:rFonts w:hint="eastAsia" w:ascii="Times New Roman" w:hAnsi="Times New Roman"/>
                <w:szCs w:val="24"/>
              </w:rPr>
              <w:t>min</w:t>
            </w:r>
            <w:r>
              <w:rPr>
                <w:rFonts w:hint="default" w:ascii="Times New Roman" w:hAnsi="Times New Roman"/>
                <w:szCs w:val="24"/>
              </w:rPr>
              <w:t>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121B248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rFonts w:hint="eastAsia" w:ascii="Times New Roman" w:hAnsi="Times New Roman"/>
                <w:b/>
                <w:color w:val="C00000"/>
                <w:lang w:eastAsia="zh-CN"/>
              </w:rPr>
            </w:pPr>
            <w:r>
              <w:rPr>
                <w:rFonts w:hint="eastAsia" w:ascii="Times New Roman" w:hAnsi="Times New Roman"/>
                <w:b/>
                <w:color w:val="C00000"/>
              </w:rPr>
              <w:t>【教师】</w:t>
            </w:r>
            <w:r>
              <w:rPr>
                <w:rFonts w:hint="eastAsia" w:ascii="Times New Roman" w:hAnsi="Times New Roman"/>
                <w:b w:val="0"/>
                <w:bCs/>
                <w:color w:val="C00000"/>
                <w:lang w:val="en-US" w:eastAsia="zh-CN"/>
              </w:rPr>
              <w:t>展示原发性高血压</w:t>
            </w:r>
          </w:p>
          <w:p w14:paraId="02A1E42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原发性高血压（primary hypertension）是以体循环动脉血管压力升高为主要临床表现的心血管综合征，通常简称为高血压。 </w:t>
            </w:r>
          </w:p>
          <w:p w14:paraId="1AB275F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>高血压定义为：收缩压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≥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>140mmHg 和（或）舒张压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≥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>90mmHg。根据血压升高水平，又进一步将高血压分为 13 级（表 6-1）。</w:t>
            </w:r>
          </w:p>
          <w:p w14:paraId="3C5D477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drawing>
                <wp:inline distT="0" distB="0" distL="114300" distR="114300">
                  <wp:extent cx="3550285" cy="1233805"/>
                  <wp:effectExtent l="0" t="0" r="5715" b="10795"/>
                  <wp:docPr id="5" name="图片 5" descr="17120645157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1712064515727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1233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当收缩压和舒张压属于不同分级时，以较高级别为准。 </w:t>
            </w:r>
          </w:p>
          <w:p w14:paraId="62A2D75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一、病因及发病机制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</w:t>
            </w:r>
          </w:p>
          <w:p w14:paraId="51C2A63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原发性高血压的病因为多种因素，总体上分为遗传和环境两方面。原发性高血压就是在这两方面因素的长期作用下，血压调节功能失调所致的。原发性高血压的发病机制包括交感神经活性亢进、肾素—血管紧张素—醛固酮系统激活、肾性水钠潴留、细胞膜离子转运异常、胰岛素抵抗等。此外，高血压具有明显的家族聚集性；长期高盐饮食、精神紧张、肥胖者，长期服用避孕药均和高血压的发病有密切的关系。 </w:t>
            </w:r>
          </w:p>
          <w:p w14:paraId="5A49E43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二、临床表现 </w:t>
            </w:r>
          </w:p>
          <w:p w14:paraId="3ECC07A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（一）症状 </w:t>
            </w:r>
          </w:p>
          <w:p w14:paraId="229CA70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本病起病缓慢，早期缺乏典型临床表现。约1/5患者无症状，后有常见症状头晕、头痛、颈项板紧、疲劳、心悸等。如果突发严重头晕、眩晕，要注意可能是过度降压、直立性低血压。还可出现器官受累的症状，如胸闷、气短、多尿等。 </w:t>
            </w:r>
          </w:p>
          <w:p w14:paraId="00CF2B5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（二）体征 </w:t>
            </w:r>
          </w:p>
          <w:p w14:paraId="3550F5A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偶见颈部、背部两侧肋脊角、上腹部脐两侧、腰部肋脊处的血管杂音，心脏听诊可有主动脉瓣区第二心音亢进、收缩期杂音等。 </w:t>
            </w:r>
          </w:p>
          <w:p w14:paraId="59199C2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三、辅助检查 </w:t>
            </w:r>
          </w:p>
          <w:p w14:paraId="47DD591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1. 实验室检查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尿常规、血糖、胆固醇、甘油三酯、肾功能、尿酸和心电图。部分患者根据需要可进一步检查眼底、超声心动图、血电解质等。 </w:t>
            </w:r>
          </w:p>
          <w:p w14:paraId="2EA4C0D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2. 其他检查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为进一步了解高血压患者靶器官结构与功能变化，可以选择特殊检查，如 24 小时动态血压监测、踝 / 臂血压比值、颈动脉内膜中层厚度等。</w:t>
            </w:r>
          </w:p>
          <w:p w14:paraId="1136BB6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四、诊断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</w:t>
            </w:r>
          </w:p>
          <w:p w14:paraId="02A3DBB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诊断为原发性高血压，应与继发性高血压鉴别，其能够找到引起血压升高的确定疾病或病因，如慢性肾脏病、原发性醛固酮增多症、嗜铬细胞瘤、皮质醇增多症、药物引起的高血压。 </w:t>
            </w:r>
          </w:p>
          <w:p w14:paraId="7475F1A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五、治疗 </w:t>
            </w:r>
          </w:p>
          <w:p w14:paraId="3B0F427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（一）高血压风险分层 </w:t>
            </w:r>
          </w:p>
          <w:p w14:paraId="46A2F66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高血压的预后不仅与血压升高水平有关，而且与其他心血管危险因素存在以及靶器官损害程度有关。为指导治疗和判断预后，需对高血压患者进行心血管危险分层。 </w:t>
            </w:r>
          </w:p>
          <w:p w14:paraId="1F678A5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（二）治疗目的与原则 </w:t>
            </w:r>
          </w:p>
          <w:p w14:paraId="102585D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1. 改善生活行为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适用于所有高血压患者，包括使用降压药治疗者。包括减轻体重、减少盐和脂肪摄入、补充钙和钾盐、戒烟限酒、增加运动。 </w:t>
            </w:r>
          </w:p>
          <w:p w14:paraId="16A1436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2. 降压药治疗对象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高血压 2 级或以上患者；高血压合并糖尿病，或者已有靶器官损害和并发症患者；改善生活行为后血压仍未获得有效控制者。 </w:t>
            </w:r>
          </w:p>
          <w:p w14:paraId="505204A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3.血压控制目标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>原则上应将血压降到患者最大耐受的水平，目前一般主张血压控制目标值至少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>＜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>140/90mmHg。糖尿病或慢性肾病合并高血压患者，血压控制目标值应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>＜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>130/80mmHg。老年收缩期高血压降压目标：收缩压为140～150mmHg，舒张压应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>＜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90mmHg，但不低于65～70mmHg。 </w:t>
            </w:r>
          </w:p>
          <w:p w14:paraId="60C85E7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4. 多重心血管危险因素协同控制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各种心血管危险因素相互之间有关联，降压治疗方案还应顾及可能对糖代谢、脂代谢、尿酸代谢等的影响。 </w:t>
            </w:r>
          </w:p>
          <w:p w14:paraId="1A5C1DE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（三）降压药物治疗 </w:t>
            </w:r>
          </w:p>
          <w:p w14:paraId="2B4F602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临床常见降压药有以下几种：利尿药、β 受体拮抗药、钙通道阻滞药、血管紧张素转换酶抑制药（ACEI）、血管紧张素Ⅱ受体拮抗药（ARB）。 </w:t>
            </w:r>
          </w:p>
          <w:p w14:paraId="5332BC9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>目前认为 2 级高血压患者在开始时就可采用两种降压药物联合治疗，这样有利于血压在相对较短时期内达到目标值，也有利于减少不良反应。合理的两种降压药联合方案是：利尿药与 β 受体拮抗药；利尿药与 ACEI 或 ARB；二氢吡啶类钙拮抗药与 β 受体拮抗药；钙拮抗药与利尿药或 ACEI 或 ARB。</w:t>
            </w:r>
          </w:p>
          <w:p w14:paraId="4446472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/>
              <w:jc w:val="left"/>
              <w:textAlignment w:val="auto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2F630066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</w:p>
          <w:p w14:paraId="4FB275B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</w:p>
          <w:p w14:paraId="2353DF28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</w:p>
          <w:p w14:paraId="2238710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</w:p>
          <w:p w14:paraId="5ABA191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</w:p>
          <w:p w14:paraId="2923ADF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leftChars="0" w:right="0" w:rightChars="0"/>
              <w:jc w:val="left"/>
              <w:textAlignment w:val="auto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展示文章</w:t>
            </w:r>
            <w:r>
              <w:rPr>
                <w:rFonts w:hint="eastAsia" w:ascii="Times New Roman" w:hAnsi="Times New Roman"/>
                <w:b/>
                <w:szCs w:val="24"/>
              </w:rPr>
              <w:t>，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让学生更加仔细的阅读，从而</w:t>
            </w:r>
            <w:r>
              <w:rPr>
                <w:rFonts w:hint="eastAsia" w:ascii="Times New Roman" w:hAnsi="Times New Roman"/>
                <w:b/>
                <w:szCs w:val="24"/>
              </w:rPr>
              <w:t>激发学生的学习欲望。</w:t>
            </w:r>
          </w:p>
        </w:tc>
      </w:tr>
      <w:tr w14:paraId="392EECB6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6F8BB64B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leftChars="0" w:right="0" w:rightChars="0" w:hanging="8" w:firstLineChars="0"/>
              <w:textAlignment w:val="auto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作业布置</w:t>
            </w:r>
            <w:r>
              <w:rPr>
                <w:rFonts w:hint="eastAsia" w:ascii="Times New Roman" w:hAnsi="Times New Roman"/>
                <w:b w:val="0"/>
                <w:bCs w:val="0"/>
                <w:szCs w:val="24"/>
              </w:rPr>
              <w:t>（</w:t>
            </w:r>
            <w:r>
              <w:rPr>
                <w:rFonts w:hint="eastAsia" w:ascii="Times New Roman" w:hAnsi="Times New Roman"/>
                <w:b w:val="0"/>
                <w:bCs w:val="0"/>
                <w:szCs w:val="24"/>
                <w:lang w:val="en-US" w:eastAsia="zh-CN"/>
              </w:rPr>
              <w:t>3</w:t>
            </w:r>
            <w:r>
              <w:rPr>
                <w:rFonts w:hint="eastAsia" w:ascii="Times New Roman" w:hAnsi="Times New Roman"/>
                <w:b w:val="0"/>
                <w:bCs w:val="0"/>
                <w:szCs w:val="24"/>
              </w:rPr>
              <w:t>min）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46653F8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textAlignment w:val="auto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 w14:paraId="31952B60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2" w:firstLineChars="200"/>
              <w:textAlignment w:val="auto"/>
              <w:rPr>
                <w:rFonts w:hint="eastAsia" w:hAnsi="宋体" w:eastAsia="宋体"/>
                <w:bCs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宋体"/>
                <w:b/>
                <w:bCs w:val="0"/>
                <w:szCs w:val="20"/>
                <w:lang w:val="en-US" w:eastAsia="zh-CN"/>
              </w:rPr>
              <w:t>简述</w:t>
            </w: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降压药物治疗</w:t>
            </w:r>
            <w:r>
              <w:rPr>
                <w:rFonts w:hint="eastAsia" w:ascii="Times New Roman" w:hAnsi="宋体"/>
                <w:b/>
                <w:bCs w:val="0"/>
                <w:szCs w:val="20"/>
                <w:lang w:val="en-US" w:eastAsia="zh-CN"/>
              </w:rPr>
              <w:t>。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74A43886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leftChars="0" w:right="0" w:rightChars="0"/>
              <w:jc w:val="left"/>
              <w:textAlignment w:val="auto"/>
              <w:rPr>
                <w:rFonts w:hint="eastAsia" w:ascii="Times New Roman" w:hAnsi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通过课后练习，使学生巩固所学新知识</w:t>
            </w:r>
          </w:p>
        </w:tc>
      </w:tr>
      <w:tr w14:paraId="28AD4BE0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3DC1635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textAlignment w:val="auto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</w:p>
          <w:p w14:paraId="7EA21147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leftChars="0" w:right="0" w:rightChars="0" w:hanging="8" w:firstLineChars="0"/>
              <w:textAlignment w:val="auto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/>
                <w:szCs w:val="24"/>
              </w:rPr>
              <w:t>（40</w:t>
            </w:r>
            <w:r>
              <w:rPr>
                <w:rFonts w:hint="eastAsia" w:ascii="Times New Roman" w:hAnsi="Times New Roman"/>
                <w:szCs w:val="24"/>
              </w:rPr>
              <w:t>min）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6EBC8F3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rFonts w:hint="eastAsia" w:ascii="Times New Roman" w:hAnsi="Times New Roman" w:eastAsia="宋体" w:cs="Times New Roman"/>
                <w:b/>
                <w:bCs w:val="0"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展示冠状动脉粥样硬化性心脏病</w:t>
            </w:r>
          </w:p>
          <w:p w14:paraId="371CA29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冠状动脉粥样硬化使管腔狭窄或阻塞，或（和）冠状动脉痉挛，导致心肌缺血缺氧或坏死而引起的心脏病，称为冠状动脉性心脏病（coronary heart disease），亦称缺血性心脏病。本病有不同的临床表型，分为急性冠状动脉综合征和慢性冠脉病。前者包括不稳定型心绞痛、非 ST 段抬高性心肌梗死和 ST 段抬高性心肌梗死，也有将冠心病猝死包括在内。后者包括稳定型心绞痛、冠脉造影正常的心绞痛、无症状性心肌缺血和缺血性心力衰竭（缺血性心肌病）。 </w:t>
            </w:r>
          </w:p>
          <w:p w14:paraId="1E421EC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一、稳定型心绞痛 </w:t>
            </w:r>
          </w:p>
          <w:p w14:paraId="6358CEA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（一）病因及发病机制 </w:t>
            </w:r>
          </w:p>
          <w:p w14:paraId="7647185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本症患者男性多于女性，多数患者年龄在 40 岁以上。当冠状动脉供血与心肌需血之间发生矛盾，心脏负荷突然增加，如劳累、激动、左心衰竭等，冠状动脉血流量不能满足心肌代谢的需要，引起心肌急剧、暂时的缺血缺氧时，即可发生心绞痛。 </w:t>
            </w:r>
          </w:p>
          <w:p w14:paraId="37AAF9F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（二）临床表现 </w:t>
            </w:r>
          </w:p>
          <w:p w14:paraId="5E03255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1. 症状 心绞痛以发作性胸痛为主要临床表现，疼痛的特点为：①诱因：体力劳动、情绪激动、饱食、寒冷、吸烟、心动过速等可诱发。②部位：主要在胸骨体中、上段之后可波及心前区，常放射至肩左臂内侧达无名指和小指，或至颈、咽或下颌部。③性质：胸痛常压迫、发闷或紧缩性，可有烧灼感。④持续时间：常在 3 ～ 5 分钟内消失，可数天或数月发作 1 次，亦可一天内多次发作。⑤缓解方式：停止诱发症状的活动或舌下含服硝酸甘油后即可缓解。 </w:t>
            </w:r>
          </w:p>
          <w:p w14:paraId="769E8B1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2. 体征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平时一般无异常体征。心绞痛发作时常见心率增快、血压升高、表情焦虑、皮肤发冷或出汗，可有暂时性心尖部收缩期杂音。 </w:t>
            </w:r>
          </w:p>
          <w:p w14:paraId="62A1C82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（三）辅助检查 </w:t>
            </w:r>
          </w:p>
          <w:p w14:paraId="2758253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1. 心脏影像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心脏 X 线检查可无异常发现，如已伴发缺血性心肌病可见心影增大、肺充血等。 </w:t>
            </w:r>
          </w:p>
          <w:p w14:paraId="41F647C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2. 心电图检查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是发现心肌缺血、诊断心绞痛最常用的检查方法。 </w:t>
            </w:r>
          </w:p>
          <w:p w14:paraId="1307A50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（1）静息时心电图：约半数患者在正常范围，也可能有陈旧性心肌梗死的改变或非特性 ST 段和 T 波异常。 </w:t>
            </w:r>
          </w:p>
          <w:p w14:paraId="56CCF45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（2）心绞痛发作：心电图绝大多数患者可出现暂时性心肌缺血引起的 ST 段移位。常见反映心内膜下心肌缺血的 ST 段压低，发作缓解后恢复。有时出现 T 波倒置。在平时有 T 波持续倒置的患者，发作时可变为直立。 </w:t>
            </w:r>
          </w:p>
          <w:p w14:paraId="224F52C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3. 心电图负荷试验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最常用的是运动负荷试验，运动方式 </w:t>
            </w:r>
          </w:p>
          <w:p w14:paraId="1D600FD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主要为分级活动平板或踏车，运动中出现典型心绞痛，心电图改变主要以 ST 段水平型或下斜型压低≥ 0.1mV 持续2 分钟为运动试验阳性标准。运动中出现心绞痛、步态不稳、 室性心动过速（接连 3 个以上室性期前收缩）或血压下降时，应立即停止运动。 </w:t>
            </w:r>
          </w:p>
          <w:p w14:paraId="3710CFB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4. 心电图连续动态监测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又称 Holter 心电监测，患者在正常活动状态下携带记录装置，连续记录并自动分析 24 小时心电图。 </w:t>
            </w:r>
          </w:p>
          <w:p w14:paraId="04863F2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5. 冠状动脉造影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用于确切了解冠状动脉狭窄病变的部位并估计其狭窄程度。 </w:t>
            </w:r>
          </w:p>
          <w:p w14:paraId="1F3B799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（四）诊断 </w:t>
            </w:r>
          </w:p>
          <w:p w14:paraId="505C524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根据冠心病的各种危险因素、典型的发作性胸痛和心肌缺血的检查证据，除外其他原因引起的心绞痛，一般即可作出诊断。 </w:t>
            </w:r>
          </w:p>
          <w:p w14:paraId="7F9051E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（五）治疗 </w:t>
            </w:r>
          </w:p>
          <w:p w14:paraId="798D74C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left"/>
              <w:textAlignment w:val="auto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>主要预防动脉粥样硬化的发生和治疗已存在的动脉粥样硬化。心绞痛治疗原则是改善冠脉血供和降低心肌耗氧，同时治疗动脉粥样硬化。长期服用阿司匹林和降血脂治疗可促使粥样斑块稳定，降低不稳定型心绞痛和心肌梗死发生率。</w:t>
            </w:r>
          </w:p>
          <w:p w14:paraId="4B93E8B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1. 发作时的治疗 </w:t>
            </w:r>
          </w:p>
          <w:p w14:paraId="452D817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（1）休息：发作时立刻休息。 </w:t>
            </w:r>
          </w:p>
          <w:p w14:paraId="37361FE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（2）药物治疗：较重的发作，可使用硝酸酯制剂。常用硝酸甘油 0.3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0.6mg 舌下含化或舌下含化硝酸异山梨酯 5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>10mg。</w:t>
            </w:r>
          </w:p>
          <w:p w14:paraId="4C53DB0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2. 缓解期治疗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</w:t>
            </w:r>
          </w:p>
          <w:p w14:paraId="015852E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避免各种诱因，进食不应过饱，禁烟酒，调整日常工作量，减轻精神负担。 </w:t>
            </w:r>
          </w:p>
          <w:p w14:paraId="2A13A85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（1）药物治疗：可单独选用、交替应用或联合应用下列药物：β 受体拮抗药、硝酸酯（常用硝酸异山梨酯、5- 单硝酸异山梨酯、长效硝酸甘油制剂）、钙通道阻滞药、曲美他嗪、中医中药治疗。 </w:t>
            </w:r>
          </w:p>
          <w:p w14:paraId="1606FDC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（2）介入治疗。 </w:t>
            </w:r>
          </w:p>
          <w:p w14:paraId="2616DFA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>（3）外科手术治疗。</w:t>
            </w:r>
          </w:p>
          <w:p w14:paraId="1E031FC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二、心肌梗死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</w:t>
            </w:r>
          </w:p>
          <w:p w14:paraId="37549CE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心肌梗死（myocardial infarction，MI）是心肌缺血性坏死。冠状动脉病变发生冠脉血供急剧减少或中断，心肌严重、持久地急性缺血导致心肌坏死。 </w:t>
            </w:r>
          </w:p>
          <w:p w14:paraId="51D58FD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（一）病因与发病机制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</w:t>
            </w:r>
          </w:p>
          <w:p w14:paraId="0C124B4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心肌梗死的基本病因是冠状动脉粥样硬化，造成一支或多支血管管腔狭窄和心肌血供不足，而侧支循环未充分建立，心肌严重、持久地急性缺血达 20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30 分钟以上，即可发生急性心肌梗死（AMI）。常见诱因有：晨起活动、饱餐、重体力活动、情绪激动、用力排便、休克、脱水、外科手术或严重心律失常。 </w:t>
            </w:r>
          </w:p>
          <w:p w14:paraId="7283E17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（二）临床表现 </w:t>
            </w:r>
          </w:p>
          <w:p w14:paraId="5369014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1. 先兆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发病前数日有乏力、胸部不适，活动时有心悸、气急、烦躁等前驱症状，心绞痛发作较以往频繁、程度较剧烈、持续较久、硝酸甘油疗效差、诱因不明显。 </w:t>
            </w:r>
          </w:p>
          <w:p w14:paraId="285F3E4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2. 症状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</w:t>
            </w:r>
          </w:p>
          <w:p w14:paraId="0A90913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1）疼痛：是最先出现的症状，多发生于清晨，疼痛部位和性质与心绞痛相同，程度较重，持续时间较长，可达数小时或更长，休息和含用硝酸甘油片多不能缓解。患者常烦躁不安、出汗、恐惧、胸闷或有濒死感。 </w:t>
            </w:r>
          </w:p>
          <w:p w14:paraId="28B60E5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（2）全身症状：疼痛后 24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48 小时出现发热、心动过速、白细胞增高和红细胞沉降率增快等。 </w:t>
            </w:r>
          </w:p>
          <w:p w14:paraId="570FDBA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（3）胃肠道症状：疼痛剧烈时常伴频繁恶心、呕吐和上腹胀痛。 </w:t>
            </w:r>
          </w:p>
          <w:p w14:paraId="53C05D2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（4）心律失常：以室性心律失常最多，尤其是室性期前收缩。多发生在起病 1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>2 天，24 小时内最多见，可伴乏力、头晕、晕厥。</w:t>
            </w:r>
          </w:p>
          <w:p w14:paraId="3B17474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（5）低血压和休克：出现烦躁不安、面色苍白、皮肤湿冷、脉细速、大汗淋漓、尿量减少、神志迟钝甚至晕厥。 </w:t>
            </w:r>
          </w:p>
          <w:p w14:paraId="6E10409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（6）心力衰竭：出现呼吸困难、咳嗽、发绀、烦躁等症状，严重者发生肺水肿，随后可有颈静脉怒张、肝大、水肿等右心衰表现。 </w:t>
            </w:r>
          </w:p>
          <w:p w14:paraId="6F54A97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3. 体征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心脏浊音界可轻至中度增大；心率多增快；心尖区第一心音减弱；可出现心房性奔马律；心尖区可出现粗糙的收缩期杂音或伴收缩中晚期喀喇音。 </w:t>
            </w:r>
          </w:p>
          <w:p w14:paraId="622CAE4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4. 并发症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乳头肌功能失调或断裂、心脏破裂、栓塞、心室壁瘤、心肌梗死后综合征。 </w:t>
            </w:r>
          </w:p>
          <w:p w14:paraId="56D4A05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（三）辅助检查 </w:t>
            </w:r>
          </w:p>
          <w:p w14:paraId="1E78254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1. 心电图 </w:t>
            </w:r>
          </w:p>
          <w:p w14:paraId="7C67010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（1）特征性改变：ST 段抬高性 ML 者心电图表现为 ST </w:t>
            </w:r>
          </w:p>
          <w:p w14:paraId="59C9C0B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段抬高呈弓背向上型、病理性 Q 波、T 波倒置。背向 MI 区的导联出现相反的改变，即 R 波增高、ST 段压低和 T 波直立增高。 </w:t>
            </w:r>
          </w:p>
          <w:p w14:paraId="4278B02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（2）定位诊断：ST 抬高性 ML 的定位可根据出现特征性改变的导联数判断。 </w:t>
            </w:r>
          </w:p>
          <w:p w14:paraId="7898678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2. 超声心动图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有助于了解心室壁的运动和左心室功能，诊断室壁瘤和乳头肌功能失调等。 </w:t>
            </w:r>
          </w:p>
          <w:p w14:paraId="760683C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3. 实验室检查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</w:t>
            </w:r>
          </w:p>
          <w:p w14:paraId="3005363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（1）血常规：起病 24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48 小时后白细胞可增至（10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20）×109 /L；红细胞沉降率增快；C 反应蛋白增高。 </w:t>
            </w:r>
          </w:p>
          <w:p w14:paraId="1CB5AC7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（2）血心肌坏死标记物增高：①肌红蛋白，起病后 2 小时内升高，12 小时内达高峰。 </w:t>
            </w:r>
          </w:p>
          <w:p w14:paraId="5935EA9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②肌钙蛋白 I（cTnl）或 T（cTnT），是诊断心肌梗死的敏感指标。起病 3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4 小时后升高，cTnl 于 11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24 小时达高峰，cTnT 于 24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48 小时达高峰。③肌酸激酶同工酶 CK-MB在起病后 4 小时内增高，16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24 小时达高峰。 </w:t>
            </w:r>
          </w:p>
          <w:p w14:paraId="4573A9D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（四）诊断 </w:t>
            </w:r>
          </w:p>
          <w:p w14:paraId="4A61389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AMI 的诊断标准为必须至少具备下列 3 条标准的 2 条：①缺血性胸痛的特点；②心电图的动态演变；③血清心肌坏死标志物浓度的动态改变。 </w:t>
            </w:r>
          </w:p>
          <w:p w14:paraId="1E298B7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（五）治疗 </w:t>
            </w:r>
          </w:p>
          <w:p w14:paraId="47485D3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治疗原则是尽快恢复心肌的血液灌注以挽救濒死的心肌，防止梗死扩大或缩小心肌缺血范围，保护和维持心脏功能，及时处理严重心律失常和各种并发症，防止猝死。 </w:t>
            </w:r>
          </w:p>
          <w:p w14:paraId="33107DA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1. 再灌注心肌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乳头肌功能失调或断裂、心脏破裂、栓塞、心室壁瘤、心肌梗死后综合征。 </w:t>
            </w:r>
          </w:p>
          <w:p w14:paraId="3D8A61C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2. 患者情况监测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监护和一般治疗急性期卧床休息，进行心电图、血压和呼吸的监测，除颤仪备用。最初几天间断或持续吸氧。无禁忌证者即服阿司匹林 150 ～ 300mg，每天 1 次，3 天后改为 75 ～ 150mg 每天 1 次长期服用。 </w:t>
            </w:r>
          </w:p>
          <w:p w14:paraId="70DD2E2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3. 解除疼痛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选用哌替啶、吗啡、硝酸甘油或硝酸异山梨酯尽快解除疼痛。心肌再灌注疗法可极有效地解除疼痛。 </w:t>
            </w:r>
          </w:p>
          <w:p w14:paraId="497B894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4. 纠正心律失常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消除心律失常多用利多卡因、胺碘酮、阿托品、美托洛尔等。 </w:t>
            </w:r>
          </w:p>
          <w:p w14:paraId="24468BF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5. 控制休克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</w:t>
            </w:r>
          </w:p>
          <w:p w14:paraId="65F37BFE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（1）补充血容量：常用右旋糖酐、5%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10% 葡萄糖注射液。 </w:t>
            </w:r>
          </w:p>
          <w:p w14:paraId="3F83E53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（2）升压药：常用多巴胺、去甲肾上腺素、多巴酚丁胺。 </w:t>
            </w:r>
          </w:p>
          <w:p w14:paraId="15B3A5C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（3）血管扩张药：常用硝普钠、硝酸甘油。 </w:t>
            </w:r>
          </w:p>
          <w:p w14:paraId="29FC802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（4）其他：纠正酸中毒、避免脑缺血、保护肾功能，必要时应用洋地黄。 </w:t>
            </w:r>
          </w:p>
          <w:p w14:paraId="5AF9630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6. 出现心力衰竭者治疗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急性左心衰竭，以应用吗啡（或哌替啶）和利尿药为主，可选用血管扩张药减轻左心室的负荷。</w:t>
            </w:r>
          </w:p>
          <w:p w14:paraId="574AF8A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  <w:p w14:paraId="4168719C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/>
              <w:jc w:val="both"/>
              <w:textAlignment w:val="auto"/>
              <w:rPr>
                <w:rFonts w:hint="default" w:ascii="Times New Roman" w:hAnsi="Times New Roman"/>
                <w:sz w:val="24"/>
                <w:szCs w:val="24"/>
              </w:rPr>
            </w:pP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7864B12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leftChars="0" w:right="0" w:rightChars="0"/>
              <w:jc w:val="left"/>
              <w:textAlignment w:val="auto"/>
              <w:rPr>
                <w:rFonts w:hint="default" w:ascii="Times New Roman" w:hAnsi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通过教师讲解，了解</w:t>
            </w: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冠状动脉粥样硬化性心脏病</w:t>
            </w:r>
            <w:r>
              <w:rPr>
                <w:rFonts w:hint="eastAsia" w:ascii="Times New Roman" w:hAnsi="Times New Roman"/>
                <w:b/>
                <w:szCs w:val="24"/>
              </w:rPr>
              <w:t>的基本理论知识。</w:t>
            </w:r>
          </w:p>
        </w:tc>
      </w:tr>
      <w:tr w14:paraId="7DC5B496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3A0BBFA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/>
              <w:jc w:val="both"/>
              <w:textAlignment w:val="auto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 w14:paraId="410AAD22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both"/>
              <w:textAlignment w:val="auto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kern w:val="2"/>
                <w:sz w:val="21"/>
                <w:szCs w:val="21"/>
                <w:lang w:val="en-US" w:eastAsia="zh-CN" w:bidi="ar"/>
              </w:rPr>
              <w:t>3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474BBDA5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回顾和总结本节课的知识点。</w:t>
            </w:r>
          </w:p>
          <w:p w14:paraId="37DE1665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2" w:firstLineChars="200"/>
              <w:jc w:val="both"/>
              <w:textAlignment w:val="auto"/>
              <w:rPr>
                <w:rFonts w:hint="eastAsia" w:ascii="宋体" w:hAnsi="宋体" w:eastAsia="宋体" w:cs="宋体"/>
                <w:b/>
                <w:bCs w:val="0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这节课我们一起学习了冠状动脉粥样硬化性心脏病，知道</w:t>
            </w:r>
            <w:r>
              <w:rPr>
                <w:rFonts w:hint="default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急性左心衰竭，以应用吗啡（或哌替啶）和利尿药为主，可选用血管扩张药减轻左心室的负荷。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1B253B2C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380" w:lineRule="exact"/>
              <w:ind w:left="0" w:leftChars="0" w:right="0" w:rightChars="0"/>
              <w:jc w:val="both"/>
              <w:textAlignment w:val="auto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通过对所学知识的回顾，培养学生的归纳总结能力</w:t>
            </w:r>
          </w:p>
        </w:tc>
      </w:tr>
      <w:tr w14:paraId="30C22C72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75C4123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8" w:leftChars="0" w:right="0" w:rightChars="0" w:hanging="8" w:firstLineChars="0"/>
              <w:jc w:val="both"/>
              <w:textAlignment w:val="auto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2</w:t>
            </w: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1331DC00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 w14:paraId="01B6F857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2" w:firstLineChars="200"/>
              <w:jc w:val="both"/>
              <w:textAlignment w:val="auto"/>
              <w:rPr>
                <w:rFonts w:hint="eastAsia" w:ascii="Calibri" w:hAnsi="宋体" w:eastAsia="宋体" w:cs="Times New Roman"/>
                <w:bCs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/>
                <w:b/>
                <w:bCs w:val="0"/>
                <w:szCs w:val="20"/>
                <w:lang w:val="en-US" w:eastAsia="zh-CN"/>
              </w:rPr>
              <w:t>简述</w:t>
            </w: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心肌梗死</w:t>
            </w:r>
            <w:r>
              <w:rPr>
                <w:rFonts w:hint="eastAsia" w:ascii="Times New Roman" w:hAnsi="宋体"/>
                <w:b/>
                <w:bCs w:val="0"/>
                <w:szCs w:val="20"/>
                <w:lang w:val="en-US" w:eastAsia="zh-CN"/>
              </w:rPr>
              <w:t>特点。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1E3B54E0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leftChars="0" w:right="0" w:rightChars="0"/>
              <w:jc w:val="left"/>
              <w:textAlignment w:val="auto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 w:val="0"/>
                <w:bCs/>
                <w:kern w:val="2"/>
                <w:sz w:val="21"/>
                <w:szCs w:val="21"/>
                <w:lang w:val="en-US" w:eastAsia="zh-CN" w:bidi="ar"/>
              </w:rPr>
              <w:t>通过课后练习，使学生巩固所学新知识</w:t>
            </w:r>
          </w:p>
        </w:tc>
      </w:tr>
      <w:tr w14:paraId="34535BA6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7E512FD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textAlignment w:val="auto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</w:p>
          <w:p w14:paraId="7711AC9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leftChars="0" w:right="0" w:rightChars="0" w:hanging="8" w:firstLineChars="0"/>
              <w:textAlignment w:val="auto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default" w:ascii="Times New Roman" w:hAnsi="Times New Roman"/>
                <w:szCs w:val="24"/>
              </w:rPr>
              <w:t>（40</w:t>
            </w:r>
            <w:r>
              <w:rPr>
                <w:rFonts w:hint="eastAsia" w:ascii="Times New Roman" w:hAnsi="Times New Roman"/>
                <w:szCs w:val="24"/>
              </w:rPr>
              <w:t>min）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62B80FC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rFonts w:hint="eastAsia" w:ascii="Times New Roman" w:hAnsi="Times New Roman" w:eastAsia="宋体" w:cs="Times New Roman"/>
                <w:b/>
                <w:bCs w:val="0"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展示心肺复苏</w:t>
            </w:r>
          </w:p>
          <w:p w14:paraId="19E2827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心肺复苏（cardio-pulmonary resuscitation，CPR）是指心搏骤停抢救过程中实施的一系列程序性操作方法或措施，常简称为 CPR。CPR 首要任务就是尽快建立有效循环与通气，进而保证机体重要器官及早恢复血供与氧供。心肺复苏术包括 3 个重要阶段：基本生命支持（BLS）、高级生命支持（ACLS）和延续的生命支持（PIS），强调不间断按压术和除颤在临床救治中的重要性，以及对复苏成功率及预后的影响。 </w:t>
            </w:r>
          </w:p>
          <w:p w14:paraId="6AD3EA8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一、基本生命支持 </w:t>
            </w:r>
          </w:p>
          <w:p w14:paraId="0BBDC80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基本生命支持（basic life support，BLS）又称初级心肺复苏，是心搏骤停现场采取的最初抢救形式和最基本的常规操作技术，包括判断技能、支持和干预技术等。BLS 的目的就是要尽快恢复对被抢救者的重要器官供血、供氧，延长机体耐受死亡的时间，争取创造进一步生命支持的机会。基本生命支持进行得是否及时、操作是否准确有效关系到自主循环能否恢复，同时也关系到整体复苏的成败。因此，基本生命支持操作技能是心搏呼吸骤停抢救的重要关键环节之一。过去 BLS 国际通用的开放气道（airway，A）、人工呼吸（breathing，B）、建立人工循环（circulation，C）的 ABC 模式，由于近年来强调心脏按压的重要性，目前已经更正为 CAB 模式。 </w:t>
            </w:r>
          </w:p>
          <w:p w14:paraId="5542B33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判断患者心脏骤停一般有以下临床特征：①意识丧失，深昏迷，呼之不应；②无法扪及大动脉搏动；③瞳孔散大，对光反射消失；④发绀。凭①②两点即可判断心脏已骤停，并立即开始基础生命支持。反复用听诊器听心脏搏动或观察心电图，会丧失抢救时机。 </w:t>
            </w:r>
          </w:p>
          <w:p w14:paraId="70655FA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（一）BLS 的步骤 </w:t>
            </w:r>
          </w:p>
          <w:p w14:paraId="3443899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BLS 的步骤可归纳为 A（airway），即开放气道；B（breathing），即进行有效的人工呼吸；C（circulation），即建立有效的人工循环。 </w:t>
            </w:r>
          </w:p>
          <w:p w14:paraId="4B86333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（二）BLS 的注意事项 </w:t>
            </w:r>
          </w:p>
          <w:p w14:paraId="3D77161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1. 快速识别和判断心搏骤停 </w:t>
            </w:r>
          </w:p>
          <w:p w14:paraId="15A2CB7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（1）判断意识 在环境安全的情况下，采取轻拍或摇动患者双肩的方法，并大声呼叫：“喂，你能听见我说话吗 ?”判断患者有无反应，同时立即检查大动脉搏动和呼吸。 </w:t>
            </w:r>
          </w:p>
          <w:p w14:paraId="2E3C4B3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（2）检查脉搏 成人和儿童检查其颈动脉，方法是食指和中指的指尖平齐并拢，从患者的气管正中部位向旁滑移 2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>～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3cm，在胸锁乳突肌内侧轻触颈动脉搏动。婴儿可检查其肱动脉。检查时间应至少 5 秒钟，但不超过 10 秒钟。 </w:t>
            </w:r>
          </w:p>
          <w:p w14:paraId="4ED26D23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（3）检查呼吸 可观察患者面部，呼吸情形和胸廓有无呼吸起伏。 </w:t>
            </w:r>
          </w:p>
          <w:p w14:paraId="5697EDF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2. 启动急救反应系统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</w:t>
            </w:r>
          </w:p>
          <w:p w14:paraId="28E2073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在院外，如果患者无反应，应立即呼叫帮助，请他人或通过手机拨打“120”，启动急救反应系统，有条件同时获取自动体外除颤仪（AED）。在院内，判断患者无反应、无呼吸、无大动脉搏动时，应立即呼叫医护团队或紧急快速反应小组，获取除颤器等急救设备与物品。 </w:t>
            </w:r>
          </w:p>
          <w:p w14:paraId="0D6CBDC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3. 胸外按压 </w:t>
            </w:r>
          </w:p>
          <w:p w14:paraId="4BFF5C8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一旦判断患者发生心搏骤停，或不确定是否有脉搏时，均应立即开始胸外按压，尽快提供循环支持。胸外按压是对胸骨下段有节律地按压，对倒地至第一次电击的时间超过 4 分钟的患者，胸外按压更为重要。有效的胸外按压可产生 60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80mmHg 的收缩期动脉峰压。 </w:t>
            </w:r>
          </w:p>
          <w:p w14:paraId="2938F97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（1）摆好体位 患者仰卧在平地或硬板上。为保证按压时力量垂直作用于胸骨，施救者可根据患者所处位置的高低，采取跪式或站式（需要时，用脚凳垫高）等不同体位进行按压。 </w:t>
            </w:r>
          </w:p>
          <w:p w14:paraId="5590984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（2）胸外按压的部位 成人胸外按压的部位是在胸部正中，胸骨的下半部，相当于男性两乳头连线之间的胸骨处。婴儿按压部位在两乳头连线之间稍下方的胸骨处。 </w:t>
            </w:r>
          </w:p>
          <w:p w14:paraId="7C84A2A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（3）胸外按压的方法 按压时，施救者一手的掌根部放在胸骨按压部位，另外一只手平行叠加在其上，两手手指交叉紧紧相扣，手指翘起。按压时，身体稍前倾，双肩在患者胸骨正上方，双臂绷紧伸直，以髋关节为支点，依靠肩部和背部的力量垂直向下用力。按压一次后放松压力，但手掌不应离开患者胸骨部位。按压频率：成人 100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120 次 /min。按压深度：胸骨下陷 5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>6cm。</w:t>
            </w:r>
          </w:p>
          <w:p w14:paraId="5115AA2B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rFonts w:hint="eastAsia" w:ascii="Times New Roman" w:hAnsi="宋体"/>
                <w:bCs/>
                <w:szCs w:val="20"/>
                <w:lang w:val="en-US" w:eastAsia="zh-CN"/>
              </w:rPr>
            </w:pPr>
          </w:p>
          <w:p w14:paraId="29F6AE9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4. 开放气道 </w:t>
            </w:r>
          </w:p>
          <w:p w14:paraId="13DEFF0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常用的开放气道的方法有两种： </w:t>
            </w:r>
          </w:p>
          <w:p w14:paraId="71A9CD8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（1）仰头抬颏 / 颌法 适用于没有头颈部创伤的患者。其方法是：患者取仰卧位，施救者站在患者一侧，将一只手置于患者前额部用力使头后仰，另一只手食指和中指置于下颏骨部向上抬颏 / 颌，使下颌角、耳垂连线与地面垂直。 </w:t>
            </w:r>
          </w:p>
          <w:p w14:paraId="45FA718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（2）托颌法 此法开放气道适用于疑似头、颈部创伤者。其方法是：患者平卧，施救者位于患者头侧，两手拇指置于患者口角旁，其余四指托住患者下颌部位，在保证头部和颈部固定的前提下，用力将患者下颌向上抬起，使下齿高于上齿。 </w:t>
            </w:r>
          </w:p>
          <w:p w14:paraId="6D32670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5. 人工通气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</w:t>
            </w:r>
          </w:p>
          <w:p w14:paraId="4012ED01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>口对口人工通气：开放气道后，施救者用置于患者前额的手拇指与示指捏住患者鼻孔，用口唇把患者的口完全罩住，进行缓慢人工通气。施救者实施人工通气前，正常吸气即可，不需要深吸气。通气完毕，施救者应立即脱离患者口部，同时放松捏闭患者鼻部的手指，使患者能从鼻孔呼出气体。</w:t>
            </w:r>
          </w:p>
          <w:p w14:paraId="6E93A55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rFonts w:hint="eastAsia" w:ascii="Times New Roman" w:hAnsi="宋体"/>
                <w:bCs/>
                <w:szCs w:val="20"/>
                <w:lang w:val="en-US" w:eastAsia="zh-CN"/>
              </w:rPr>
            </w:pPr>
          </w:p>
          <w:p w14:paraId="33EEEE3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30 次按压后，通气 2 次，每次通气应持续 1 秒钟，使胸廓明显起伏，保证有足够的气体进入肺部，但应注意避免过度通气。如果患者有自主循环存在，但需要呼吸支持，人工通气的频率为每分钟 0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12 次，即每 5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6 秒钟给予人工通气 1 次。婴儿和儿童的通气频率为 12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20 次 /min。 </w:t>
            </w:r>
          </w:p>
          <w:p w14:paraId="39CE40A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>上述通气方式只是临时性抢救措施，应尽快获得团队人员的支持，应用球囊一面罩进行通气或建立高级气道（气管内插管）给予机械辅助通气与输氧，及时纠正低氧血症。</w:t>
            </w:r>
          </w:p>
          <w:p w14:paraId="46B8D2A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（三）终止心肺复苏指标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</w:t>
            </w:r>
          </w:p>
          <w:p w14:paraId="635CE19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当被抢救者自主呼吸及心搏已经恢复时或复苏操作已达 30 分钟以上而被抢救者仍呈深昏迷，且自主呼吸及心搏一直未能恢复、心电图示波呈现直线时，可由现场负责医生决定是否终止心肺复苏。 </w:t>
            </w:r>
          </w:p>
          <w:p w14:paraId="48245DF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二、高级生命支持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</w:t>
            </w:r>
          </w:p>
          <w:p w14:paraId="5EBE973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高级生命支持（advanced life support，ALS）是在初级生命支持的基础上，应用辅助设备、特殊技术等建立更为有效的通气和血液循环的救治过程。在此过程中主要是有针对性使用各种抢救手段、措施、药物，将初级 CPR 恢复的自主循环改善为有效循环。 </w:t>
            </w:r>
          </w:p>
          <w:p w14:paraId="2D86C96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（一）辅助呼吸技术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</w:t>
            </w:r>
          </w:p>
          <w:p w14:paraId="0340B07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院外患者常用面罩、简易球囊维持通气。院内患者气管内插管应尽早进行，插入的通气管要适合患者体型，管壁外必须有气囊。插入后即将气囊充气，避免漏气并可防止呕吐物流入气管。插入通气管后，可立即连接非同步定容呼吸器或麻醉机，每分钟通气12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15 次，一般通气时暂停胸外按压 1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2 次。 </w:t>
            </w:r>
          </w:p>
          <w:p w14:paraId="64A2313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（二）直流电非同步除颤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 </w:t>
            </w:r>
          </w:p>
          <w:p w14:paraId="6EEC427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心脏骤停的直接原因较常见的是心室颤动（VF）和室性心动过速，现代复苏学认为及早除颤是决定患者能否存活的关键。紧急时，可“盲目除颤”即不经气管插管等措施，一经判定为心脏骤停立即除颤。 </w:t>
            </w:r>
          </w:p>
          <w:p w14:paraId="5017D34F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（1）电击前应先静脉注入 5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10mg/kg 溴苄铵，可以增加除颤成功率。 </w:t>
            </w:r>
          </w:p>
          <w:p w14:paraId="5D374FB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>（2）除颤电极放在患者裸胸的胸骨外缘前外侧部。右电极板放在患者右锁骨下方，左电极板放在与左乳头平齐的左胸下外侧部。</w:t>
            </w:r>
          </w:p>
          <w:p w14:paraId="63C15C55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（3）采用双向波电除颤可以选择 150 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 xml:space="preserve">～ </w:t>
            </w: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200J，使用单向波电除颤应选择 360J。一次电击无效后继续胸外按压和人工通气，5 个周期的 CPR 后（约 2 分钟）再次分析心律，必要时再次除颤。 </w:t>
            </w:r>
          </w:p>
          <w:p w14:paraId="679F335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（4）如室性颤动为细颤，应立即静注 0.1% 肾上腺素 1mL，使变成粗颤，然后电击，方可能有效。 </w:t>
            </w:r>
          </w:p>
          <w:p w14:paraId="224691C9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（三）药物治疗 </w:t>
            </w:r>
          </w:p>
          <w:p w14:paraId="477322A4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即使心搏经 BLS 和 ALS 恢复，亦需用药物纠正和协调体内器官的功能和相互间的平衡，并且可以避免再灌流的损伤。 </w:t>
            </w:r>
          </w:p>
          <w:p w14:paraId="606568B8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1. BLS-CPR 时的用药 </w:t>
            </w:r>
          </w:p>
          <w:p w14:paraId="5AB574CA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（1）肾上腺素 心脏骤停后，肾上腺素是首选经静脉注射（或稀释后由气管内注入）的药物。 </w:t>
            </w:r>
          </w:p>
          <w:p w14:paraId="277DF986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（2）溴苄铵 在非同步除颤前，先静注溴苄铵，具有较高的转复率，并可防止室颤复发。 </w:t>
            </w:r>
          </w:p>
          <w:p w14:paraId="246C674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（3）利多卡因 用于处理急性心肌梗死并发多发性室性期前收缩时的首选药，也是用于处理室性颤动的一线药物。 </w:t>
            </w:r>
          </w:p>
          <w:p w14:paraId="1393BEB2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2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 xml:space="preserve">2. ALS 或 CPR 已获初步效果时的用药 </w:t>
            </w:r>
          </w:p>
          <w:p w14:paraId="151597C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（1）碳酸氢钠 经过 CPR、电除颤后，通气明显改善后血气分析发现有严重的代谢性酸中毒，可考虑用适量的碳酸氢钠。 </w:t>
            </w:r>
          </w:p>
          <w:p w14:paraId="3378F5AC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（2）多巴胺 常与间羟胺联合应用于 CPR 后心脏搏动已恢复，但尚不能保持正常血压时。 </w:t>
            </w:r>
          </w:p>
          <w:p w14:paraId="4737CB57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 w:ascii="Times New Roman" w:hAnsi="宋体"/>
                <w:bCs/>
                <w:szCs w:val="20"/>
                <w:lang w:val="en-US" w:eastAsia="zh-CN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 xml:space="preserve">（3）间羟胺（阿拉明） 主要升高平均血压，对脑供血有利。 </w:t>
            </w:r>
          </w:p>
          <w:p w14:paraId="5B6CE5DD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420" w:firstLineChars="200"/>
              <w:jc w:val="left"/>
              <w:rPr>
                <w:rFonts w:hint="default"/>
              </w:rPr>
            </w:pPr>
            <w:r>
              <w:rPr>
                <w:rFonts w:hint="default" w:ascii="Times New Roman" w:hAnsi="宋体"/>
                <w:bCs/>
                <w:szCs w:val="20"/>
                <w:lang w:val="en-US" w:eastAsia="zh-CN"/>
              </w:rPr>
              <w:t>（4）去甲肾上腺素 适用于感染性休克引起的“低阻型休克”（暖休克），不适用于低容量休克。</w:t>
            </w:r>
          </w:p>
          <w:p w14:paraId="3C896F28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  <w:p w14:paraId="468B4025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</w:pPr>
          </w:p>
          <w:p w14:paraId="476089CE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4"/>
                <w:szCs w:val="24"/>
                <w:lang w:val="en-US" w:eastAsia="zh-CN" w:bidi="ar"/>
              </w:rPr>
            </w:pP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7A5483D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leftChars="0" w:right="0" w:rightChars="0"/>
              <w:jc w:val="left"/>
              <w:textAlignment w:val="auto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通过教师讲解，了解</w:t>
            </w: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心肺复苏</w:t>
            </w:r>
            <w:r>
              <w:rPr>
                <w:rFonts w:hint="eastAsia" w:ascii="Times New Roman" w:hAnsi="Times New Roman"/>
                <w:b/>
                <w:szCs w:val="24"/>
              </w:rPr>
              <w:t>的基本理论知识。</w:t>
            </w:r>
          </w:p>
        </w:tc>
      </w:tr>
      <w:tr w14:paraId="27333799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46F02A0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/>
              <w:jc w:val="both"/>
              <w:textAlignment w:val="auto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 w14:paraId="7DCB506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both"/>
              <w:textAlignment w:val="auto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kern w:val="2"/>
                <w:sz w:val="21"/>
                <w:szCs w:val="21"/>
                <w:lang w:val="en-US" w:eastAsia="zh-CN" w:bidi="ar"/>
              </w:rPr>
              <w:t>3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32EA28E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回顾和总结本节课的知识点。</w:t>
            </w:r>
          </w:p>
          <w:p w14:paraId="4E8D4BB0"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leftChars="0" w:right="0" w:rightChars="0" w:firstLine="422" w:firstLineChars="200"/>
              <w:jc w:val="left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这节课我们一起学习了心肺复苏，知道</w:t>
            </w:r>
            <w:r>
              <w:rPr>
                <w:rFonts w:hint="default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 xml:space="preserve">碳酸氢钠 经过 CPR、电除颤后，通气明显改善后血气分析发现有严重的代谢性酸中毒，可考虑用适量的碳酸氢钠。 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762250C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380" w:lineRule="exact"/>
              <w:ind w:left="0" w:leftChars="0" w:right="0" w:rightChars="0"/>
              <w:jc w:val="both"/>
              <w:textAlignment w:val="auto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通过对所学知识的回顾，培养学生的归纳总结能力</w:t>
            </w:r>
          </w:p>
        </w:tc>
      </w:tr>
      <w:tr w14:paraId="4B8D6E36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10AD11F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8" w:leftChars="0" w:right="0" w:rightChars="0" w:hanging="8" w:firstLineChars="0"/>
              <w:jc w:val="both"/>
              <w:textAlignment w:val="auto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2</w:t>
            </w: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450AFF9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 w14:paraId="6A11429C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2" w:firstLineChars="200"/>
              <w:jc w:val="both"/>
              <w:textAlignment w:val="auto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/>
                <w:b/>
                <w:bCs w:val="0"/>
                <w:szCs w:val="20"/>
                <w:lang w:val="en-US" w:eastAsia="zh-CN"/>
              </w:rPr>
              <w:t>简述</w:t>
            </w:r>
            <w:r>
              <w:rPr>
                <w:rFonts w:hint="default" w:ascii="Times New Roman" w:hAnsi="宋体"/>
                <w:b/>
                <w:bCs w:val="0"/>
                <w:szCs w:val="20"/>
                <w:lang w:val="en-US" w:eastAsia="zh-CN"/>
              </w:rPr>
              <w:t>直流电非同步除颤</w:t>
            </w:r>
            <w:r>
              <w:rPr>
                <w:rFonts w:hint="eastAsia" w:ascii="Times New Roman" w:hAnsi="宋体"/>
                <w:b/>
                <w:bCs w:val="0"/>
                <w:szCs w:val="20"/>
                <w:lang w:val="en-US" w:eastAsia="zh-CN"/>
              </w:rPr>
              <w:t>过程。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453FFEE4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leftChars="0" w:right="0" w:rightChars="0"/>
              <w:jc w:val="left"/>
              <w:textAlignment w:val="auto"/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 w:val="0"/>
                <w:bCs/>
                <w:kern w:val="2"/>
                <w:sz w:val="21"/>
                <w:szCs w:val="21"/>
                <w:lang w:val="en-US" w:eastAsia="zh-CN" w:bidi="ar"/>
              </w:rPr>
              <w:t>通过课后练习，使学生巩固所学新知识</w:t>
            </w:r>
          </w:p>
        </w:tc>
      </w:tr>
      <w:tr w14:paraId="457963B0">
        <w:tblPrEx>
          <w:tblBorders>
            <w:top w:val="double" w:color="00B0F0" w:sz="4" w:space="0"/>
            <w:left w:val="double" w:color="00B0F0" w:sz="4" w:space="0"/>
            <w:bottom w:val="double" w:color="00B0F0" w:sz="4" w:space="0"/>
            <w:right w:val="double" w:color="00B0F0" w:sz="4" w:space="0"/>
            <w:insideH w:val="single" w:color="4472C4" w:themeColor="accent5" w:sz="4" w:space="0"/>
            <w:insideV w:val="single" w:color="4472C4" w:themeColor="accent5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shd w:val="clear" w:color="auto" w:fill="B7F1FF"/>
            <w:vAlign w:val="center"/>
          </w:tcPr>
          <w:p w14:paraId="0511862C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textAlignment w:val="auto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</w:rPr>
              <w:t>教学反思</w:t>
            </w:r>
          </w:p>
        </w:tc>
        <w:tc>
          <w:tcPr>
            <w:tcW w:w="8904" w:type="dxa"/>
            <w:gridSpan w:val="2"/>
            <w:tcBorders>
              <w:tl2br w:val="nil"/>
              <w:tr2bl w:val="nil"/>
            </w:tcBorders>
            <w:vAlign w:val="center"/>
          </w:tcPr>
          <w:p w14:paraId="3417B23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380" w:lineRule="exact"/>
              <w:ind w:left="0" w:leftChars="0" w:right="0" w:rightChars="0"/>
              <w:textAlignment w:val="auto"/>
              <w:rPr>
                <w:rFonts w:hint="default" w:ascii="Times New Roman" w:hAnsi="Times New Roman"/>
                <w:sz w:val="24"/>
                <w:szCs w:val="24"/>
              </w:rPr>
            </w:pPr>
            <w:r>
              <w:rPr>
                <w:rFonts w:hint="default" w:ascii="Times New Roman" w:hAnsi="Times New Roman"/>
              </w:rPr>
              <w:t>恰当的采用多媒体教学手段，能提高增加教学密度，提高教学效率，也能增强学生学习的兴趣。这节课我借助了多媒体教学，效果还是不错的。</w:t>
            </w:r>
          </w:p>
        </w:tc>
      </w:tr>
    </w:tbl>
    <w:p w14:paraId="53191499"/>
    <w:sectPr>
      <w:pgSz w:w="11906" w:h="16838"/>
      <w:pgMar w:top="567" w:right="170" w:bottom="850" w:left="170" w:header="567" w:footer="850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宋黑_GBK">
    <w:altName w:val="宋体"/>
    <w:panose1 w:val="03000509000000000000"/>
    <w:charset w:val="86"/>
    <w:family w:val="script"/>
    <w:pitch w:val="default"/>
    <w:sig w:usb0="00000000" w:usb1="00000000" w:usb2="00000000" w:usb3="00000000" w:csb0="00040000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PinYinok">
    <w:altName w:val="Segoe Print"/>
    <w:panose1 w:val="020B0603050302020204"/>
    <w:charset w:val="00"/>
    <w:family w:val="swiss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微软简老宋">
    <w:altName w:val="宋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9C28E3C">
    <w:pPr>
      <w:pStyle w:val="9"/>
      <w:pBdr>
        <w:bottom w:val="none" w:color="auto" w:sz="0" w:space="1"/>
      </w:pBdr>
      <w:rPr>
        <w:rFonts w:hint="eastAsia" w:eastAsia="宋体"/>
        <w:lang w:eastAsia="zh-CN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249555</wp:posOffset>
              </wp:positionH>
              <wp:positionV relativeFrom="paragraph">
                <wp:posOffset>5715</wp:posOffset>
              </wp:positionV>
              <wp:extent cx="6840220" cy="9972040"/>
              <wp:effectExtent l="6350" t="6350" r="11430" b="22860"/>
              <wp:wrapNone/>
              <wp:docPr id="8" name="矩形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93370" y="365760"/>
                        <a:ext cx="6840220" cy="9972040"/>
                      </a:xfrm>
                      <a:prstGeom prst="rect">
                        <a:avLst/>
                      </a:prstGeom>
                      <a:solidFill>
                        <a:schemeClr val="bg1">
                          <a:alpha val="55000"/>
                        </a:schemeClr>
                      </a:solidFill>
                      <a:ln>
                        <a:solidFill>
                          <a:schemeClr val="bg1">
                            <a:lumMod val="95000"/>
                          </a:schemeClr>
                        </a:solidFill>
                        <a:prstDash val="solid"/>
                      </a:ln>
                    </wps:spPr>
                    <wps:style>
                      <a:lnRef idx="2">
                        <a:schemeClr val="accent1">
                          <a:lumMod val="7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rgbClr val="FFFFFF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left:19.65pt;margin-top:0.45pt;height:785.2pt;width:538.6pt;z-index:251661312;v-text-anchor:middle;mso-width-relative:page;mso-height-relative:page;" fillcolor="#FFFFFF [3212]" filled="t" stroked="t" coordsize="21600,21600" o:gfxdata="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">
              <v:fill on="t" opacity="36044f" focussize="0,0"/>
              <v:stroke weight="1pt" color="#F2F2F2 [3052]" miterlimit="8" joinstyle="miter"/>
              <v:imagedata o:title=""/>
              <o:lock v:ext="edit" aspectratio="f"/>
            </v:rect>
          </w:pict>
        </mc:Fallback>
      </mc:AlternateContent>
    </w:r>
    <w:r>
      <w:rPr>
        <w:rFonts w:hint="eastAsia" w:eastAsia="宋体"/>
        <w:lang w:eastAsia="zh-CN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-113030</wp:posOffset>
          </wp:positionH>
          <wp:positionV relativeFrom="paragraph">
            <wp:posOffset>-350520</wp:posOffset>
          </wp:positionV>
          <wp:extent cx="7559040" cy="10692130"/>
          <wp:effectExtent l="0" t="0" r="3810" b="13970"/>
          <wp:wrapNone/>
          <wp:docPr id="7" name="图片 7" descr="医学背景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7" descr="医学背景2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6D56191">
    <w:pPr>
      <w:pStyle w:val="9"/>
      <w:pBdr>
        <w:bottom w:val="none" w:color="auto" w:sz="0" w:space="1"/>
      </w:pBdr>
      <w:rPr>
        <w:rFonts w:hint="eastAsia" w:eastAsia="宋体"/>
        <w:lang w:eastAsia="zh-CN"/>
      </w:rPr>
    </w:pPr>
    <w:r>
      <w:rPr>
        <w:rFonts w:hint="eastAsia" w:eastAsia="宋体"/>
        <w:lang w:eastAsia="zh-CN"/>
      </w:rPr>
      <w:drawing>
        <wp:inline distT="0" distB="0" distL="114300" distR="114300">
          <wp:extent cx="6614160" cy="9355455"/>
          <wp:effectExtent l="0" t="0" r="15240" b="17145"/>
          <wp:docPr id="6" name="图片 6" descr="医学背景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医学背景2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614160" cy="93554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1DB6F23">
    <w:pPr>
      <w:pStyle w:val="9"/>
      <w:pBdr>
        <w:bottom w:val="none" w:color="auto" w:sz="0" w:space="1"/>
      </w:pBdr>
      <w:rPr>
        <w:rFonts w:hint="eastAsia" w:eastAsia="宋体"/>
        <w:lang w:eastAsia="zh-CN"/>
      </w:rPr>
    </w:pPr>
    <w:r>
      <w:rPr>
        <w:rFonts w:hint="eastAsia" w:eastAsia="宋体"/>
        <w:lang w:eastAsia="zh-CN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-115570</wp:posOffset>
          </wp:positionH>
          <wp:positionV relativeFrom="paragraph">
            <wp:posOffset>-367030</wp:posOffset>
          </wp:positionV>
          <wp:extent cx="7559040" cy="10692130"/>
          <wp:effectExtent l="0" t="0" r="3810" b="13970"/>
          <wp:wrapNone/>
          <wp:docPr id="3" name="图片 3" descr="医学封面背景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 descr="医学封面背景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UwZDJhYjUyNWMyYTM4YmY1YzczYWE4MTIwOWE1NDYifQ=="/>
  </w:docVars>
  <w:rsids>
    <w:rsidRoot w:val="00B604E2"/>
    <w:rsid w:val="0002033F"/>
    <w:rsid w:val="0002167A"/>
    <w:rsid w:val="000224F0"/>
    <w:rsid w:val="000251F5"/>
    <w:rsid w:val="000260A1"/>
    <w:rsid w:val="00030C76"/>
    <w:rsid w:val="00032393"/>
    <w:rsid w:val="00032759"/>
    <w:rsid w:val="00033EA9"/>
    <w:rsid w:val="00034267"/>
    <w:rsid w:val="00041045"/>
    <w:rsid w:val="00041DC8"/>
    <w:rsid w:val="00047DED"/>
    <w:rsid w:val="00085814"/>
    <w:rsid w:val="00086D0B"/>
    <w:rsid w:val="000875D2"/>
    <w:rsid w:val="000907E3"/>
    <w:rsid w:val="000A4274"/>
    <w:rsid w:val="000B19B1"/>
    <w:rsid w:val="000B265C"/>
    <w:rsid w:val="000B4C54"/>
    <w:rsid w:val="000C0DAE"/>
    <w:rsid w:val="000D3CAC"/>
    <w:rsid w:val="000D661D"/>
    <w:rsid w:val="000E5DC5"/>
    <w:rsid w:val="000F38F8"/>
    <w:rsid w:val="000F7E05"/>
    <w:rsid w:val="00100C97"/>
    <w:rsid w:val="00110CD4"/>
    <w:rsid w:val="001227AF"/>
    <w:rsid w:val="00127930"/>
    <w:rsid w:val="00130FB7"/>
    <w:rsid w:val="001327C7"/>
    <w:rsid w:val="00137B09"/>
    <w:rsid w:val="00141495"/>
    <w:rsid w:val="0014511A"/>
    <w:rsid w:val="0015161D"/>
    <w:rsid w:val="00165FC4"/>
    <w:rsid w:val="001706AD"/>
    <w:rsid w:val="00170F4A"/>
    <w:rsid w:val="001769B1"/>
    <w:rsid w:val="00177278"/>
    <w:rsid w:val="00195060"/>
    <w:rsid w:val="001A6E6C"/>
    <w:rsid w:val="001A70B3"/>
    <w:rsid w:val="001B36F7"/>
    <w:rsid w:val="001C4D6A"/>
    <w:rsid w:val="001D051E"/>
    <w:rsid w:val="001D3A8C"/>
    <w:rsid w:val="001E06FA"/>
    <w:rsid w:val="001E2B6C"/>
    <w:rsid w:val="001E4145"/>
    <w:rsid w:val="00202A1C"/>
    <w:rsid w:val="0020518E"/>
    <w:rsid w:val="00231853"/>
    <w:rsid w:val="002329DE"/>
    <w:rsid w:val="00233CF2"/>
    <w:rsid w:val="00235F6C"/>
    <w:rsid w:val="00240B02"/>
    <w:rsid w:val="0024383A"/>
    <w:rsid w:val="00251B66"/>
    <w:rsid w:val="002878FB"/>
    <w:rsid w:val="00287C28"/>
    <w:rsid w:val="00291909"/>
    <w:rsid w:val="00292FEA"/>
    <w:rsid w:val="002A2535"/>
    <w:rsid w:val="002A33A8"/>
    <w:rsid w:val="002A404C"/>
    <w:rsid w:val="002A4158"/>
    <w:rsid w:val="002B38E7"/>
    <w:rsid w:val="002B7185"/>
    <w:rsid w:val="002C1F01"/>
    <w:rsid w:val="002D6662"/>
    <w:rsid w:val="002E184A"/>
    <w:rsid w:val="002E68A4"/>
    <w:rsid w:val="002E7294"/>
    <w:rsid w:val="003126FD"/>
    <w:rsid w:val="00315E59"/>
    <w:rsid w:val="00316415"/>
    <w:rsid w:val="00316DC3"/>
    <w:rsid w:val="00325F15"/>
    <w:rsid w:val="00355D4B"/>
    <w:rsid w:val="003648FD"/>
    <w:rsid w:val="00365839"/>
    <w:rsid w:val="00365BD3"/>
    <w:rsid w:val="0039102B"/>
    <w:rsid w:val="0039306C"/>
    <w:rsid w:val="003937CA"/>
    <w:rsid w:val="003A663D"/>
    <w:rsid w:val="003B0CAE"/>
    <w:rsid w:val="003B2EE1"/>
    <w:rsid w:val="003B4179"/>
    <w:rsid w:val="003B6AA4"/>
    <w:rsid w:val="003C495D"/>
    <w:rsid w:val="003D045E"/>
    <w:rsid w:val="003D32FB"/>
    <w:rsid w:val="003D3443"/>
    <w:rsid w:val="003D4B07"/>
    <w:rsid w:val="003D77B0"/>
    <w:rsid w:val="003F1437"/>
    <w:rsid w:val="003F5B78"/>
    <w:rsid w:val="0040216F"/>
    <w:rsid w:val="00402F26"/>
    <w:rsid w:val="00410165"/>
    <w:rsid w:val="004359A6"/>
    <w:rsid w:val="00444506"/>
    <w:rsid w:val="0045341E"/>
    <w:rsid w:val="00481FC2"/>
    <w:rsid w:val="0049606E"/>
    <w:rsid w:val="004A1EE5"/>
    <w:rsid w:val="004B3CF6"/>
    <w:rsid w:val="004C029E"/>
    <w:rsid w:val="004C512D"/>
    <w:rsid w:val="004C5AA3"/>
    <w:rsid w:val="004C740C"/>
    <w:rsid w:val="004C7A80"/>
    <w:rsid w:val="004D147E"/>
    <w:rsid w:val="004D23FC"/>
    <w:rsid w:val="004D2C8A"/>
    <w:rsid w:val="004E1C39"/>
    <w:rsid w:val="004F67EA"/>
    <w:rsid w:val="00524802"/>
    <w:rsid w:val="00527968"/>
    <w:rsid w:val="00530E72"/>
    <w:rsid w:val="0055010C"/>
    <w:rsid w:val="00572303"/>
    <w:rsid w:val="00591658"/>
    <w:rsid w:val="00594AC9"/>
    <w:rsid w:val="005A04FD"/>
    <w:rsid w:val="005B2198"/>
    <w:rsid w:val="005E14DD"/>
    <w:rsid w:val="005F1D11"/>
    <w:rsid w:val="00601D08"/>
    <w:rsid w:val="00603EDE"/>
    <w:rsid w:val="00610D47"/>
    <w:rsid w:val="00630A0C"/>
    <w:rsid w:val="00633C56"/>
    <w:rsid w:val="0064204D"/>
    <w:rsid w:val="006422CD"/>
    <w:rsid w:val="00642E05"/>
    <w:rsid w:val="0065006B"/>
    <w:rsid w:val="006509C8"/>
    <w:rsid w:val="0065152E"/>
    <w:rsid w:val="00655917"/>
    <w:rsid w:val="006621CF"/>
    <w:rsid w:val="00673469"/>
    <w:rsid w:val="006759C7"/>
    <w:rsid w:val="00675D5A"/>
    <w:rsid w:val="0067670B"/>
    <w:rsid w:val="006840A4"/>
    <w:rsid w:val="0068662B"/>
    <w:rsid w:val="0069310C"/>
    <w:rsid w:val="00693C47"/>
    <w:rsid w:val="00694463"/>
    <w:rsid w:val="006960C8"/>
    <w:rsid w:val="006C4F4C"/>
    <w:rsid w:val="006D0589"/>
    <w:rsid w:val="006E0ED7"/>
    <w:rsid w:val="006E11D0"/>
    <w:rsid w:val="006E1507"/>
    <w:rsid w:val="006E632B"/>
    <w:rsid w:val="006F0174"/>
    <w:rsid w:val="006F5420"/>
    <w:rsid w:val="006F683D"/>
    <w:rsid w:val="006F6EAC"/>
    <w:rsid w:val="00706624"/>
    <w:rsid w:val="00721607"/>
    <w:rsid w:val="00727DA5"/>
    <w:rsid w:val="00732B84"/>
    <w:rsid w:val="00764EAE"/>
    <w:rsid w:val="00774A06"/>
    <w:rsid w:val="007A1149"/>
    <w:rsid w:val="007A45BB"/>
    <w:rsid w:val="007B59A7"/>
    <w:rsid w:val="007D07DC"/>
    <w:rsid w:val="007F52A3"/>
    <w:rsid w:val="00820AB4"/>
    <w:rsid w:val="008373CE"/>
    <w:rsid w:val="0084469D"/>
    <w:rsid w:val="0084547D"/>
    <w:rsid w:val="0086345D"/>
    <w:rsid w:val="00867F7F"/>
    <w:rsid w:val="00881A37"/>
    <w:rsid w:val="00895FF2"/>
    <w:rsid w:val="008A0B8D"/>
    <w:rsid w:val="008A12A5"/>
    <w:rsid w:val="008A17A6"/>
    <w:rsid w:val="008B7BB5"/>
    <w:rsid w:val="008D0DCA"/>
    <w:rsid w:val="008D5353"/>
    <w:rsid w:val="008D7EF6"/>
    <w:rsid w:val="008E003C"/>
    <w:rsid w:val="008E6A68"/>
    <w:rsid w:val="008F27D3"/>
    <w:rsid w:val="008F2E57"/>
    <w:rsid w:val="008F6E17"/>
    <w:rsid w:val="009056B5"/>
    <w:rsid w:val="009129DE"/>
    <w:rsid w:val="00914FD9"/>
    <w:rsid w:val="00916C28"/>
    <w:rsid w:val="00922F12"/>
    <w:rsid w:val="00926265"/>
    <w:rsid w:val="00943102"/>
    <w:rsid w:val="009444B5"/>
    <w:rsid w:val="00944501"/>
    <w:rsid w:val="00983008"/>
    <w:rsid w:val="00996E2D"/>
    <w:rsid w:val="009B07F3"/>
    <w:rsid w:val="009B3A40"/>
    <w:rsid w:val="009C0AE0"/>
    <w:rsid w:val="009C3CC9"/>
    <w:rsid w:val="009C65CB"/>
    <w:rsid w:val="009D1C47"/>
    <w:rsid w:val="009D2B40"/>
    <w:rsid w:val="009E362F"/>
    <w:rsid w:val="009F43F0"/>
    <w:rsid w:val="00A00006"/>
    <w:rsid w:val="00A01CBA"/>
    <w:rsid w:val="00A03BF7"/>
    <w:rsid w:val="00A07398"/>
    <w:rsid w:val="00A1764A"/>
    <w:rsid w:val="00A61ADE"/>
    <w:rsid w:val="00A65E57"/>
    <w:rsid w:val="00A66F98"/>
    <w:rsid w:val="00AB118B"/>
    <w:rsid w:val="00AC0908"/>
    <w:rsid w:val="00AC16F9"/>
    <w:rsid w:val="00AC774E"/>
    <w:rsid w:val="00AD38C8"/>
    <w:rsid w:val="00AE4AF0"/>
    <w:rsid w:val="00AE5721"/>
    <w:rsid w:val="00AE683A"/>
    <w:rsid w:val="00B16242"/>
    <w:rsid w:val="00B21432"/>
    <w:rsid w:val="00B25457"/>
    <w:rsid w:val="00B26D0D"/>
    <w:rsid w:val="00B35660"/>
    <w:rsid w:val="00B3567A"/>
    <w:rsid w:val="00B47365"/>
    <w:rsid w:val="00B537F5"/>
    <w:rsid w:val="00B604E2"/>
    <w:rsid w:val="00B7231E"/>
    <w:rsid w:val="00B745DF"/>
    <w:rsid w:val="00B80469"/>
    <w:rsid w:val="00B8084C"/>
    <w:rsid w:val="00B8585D"/>
    <w:rsid w:val="00BA0DFD"/>
    <w:rsid w:val="00BB0931"/>
    <w:rsid w:val="00BB6C06"/>
    <w:rsid w:val="00BB79B5"/>
    <w:rsid w:val="00BC0CDD"/>
    <w:rsid w:val="00BD44BE"/>
    <w:rsid w:val="00BF4125"/>
    <w:rsid w:val="00BF7295"/>
    <w:rsid w:val="00C020F4"/>
    <w:rsid w:val="00C03EBC"/>
    <w:rsid w:val="00C12DED"/>
    <w:rsid w:val="00C13A18"/>
    <w:rsid w:val="00C15D93"/>
    <w:rsid w:val="00C15FA0"/>
    <w:rsid w:val="00C32B34"/>
    <w:rsid w:val="00C538F6"/>
    <w:rsid w:val="00C539B3"/>
    <w:rsid w:val="00C62DB9"/>
    <w:rsid w:val="00C710BF"/>
    <w:rsid w:val="00C757FF"/>
    <w:rsid w:val="00C8147F"/>
    <w:rsid w:val="00C870A5"/>
    <w:rsid w:val="00C913C9"/>
    <w:rsid w:val="00CA4BEA"/>
    <w:rsid w:val="00CB086C"/>
    <w:rsid w:val="00CB4DC5"/>
    <w:rsid w:val="00CC1ED3"/>
    <w:rsid w:val="00CC69F7"/>
    <w:rsid w:val="00CD06A1"/>
    <w:rsid w:val="00CD5851"/>
    <w:rsid w:val="00D019D7"/>
    <w:rsid w:val="00D046A4"/>
    <w:rsid w:val="00D1142A"/>
    <w:rsid w:val="00D16E39"/>
    <w:rsid w:val="00D327D7"/>
    <w:rsid w:val="00D35939"/>
    <w:rsid w:val="00D363BC"/>
    <w:rsid w:val="00D41F60"/>
    <w:rsid w:val="00D431BF"/>
    <w:rsid w:val="00D45D4F"/>
    <w:rsid w:val="00D5176B"/>
    <w:rsid w:val="00D52C17"/>
    <w:rsid w:val="00D55100"/>
    <w:rsid w:val="00D825C6"/>
    <w:rsid w:val="00D9020D"/>
    <w:rsid w:val="00D9518A"/>
    <w:rsid w:val="00D96E65"/>
    <w:rsid w:val="00DA2BE9"/>
    <w:rsid w:val="00DB13C3"/>
    <w:rsid w:val="00DB2AB8"/>
    <w:rsid w:val="00DB4228"/>
    <w:rsid w:val="00DB7A7E"/>
    <w:rsid w:val="00DC0439"/>
    <w:rsid w:val="00DC2395"/>
    <w:rsid w:val="00DC2957"/>
    <w:rsid w:val="00DD1421"/>
    <w:rsid w:val="00DD4D1B"/>
    <w:rsid w:val="00DF4461"/>
    <w:rsid w:val="00DF515A"/>
    <w:rsid w:val="00E0214F"/>
    <w:rsid w:val="00E04B69"/>
    <w:rsid w:val="00E0715F"/>
    <w:rsid w:val="00E12FD7"/>
    <w:rsid w:val="00E5322C"/>
    <w:rsid w:val="00E5467F"/>
    <w:rsid w:val="00E556B1"/>
    <w:rsid w:val="00E665E3"/>
    <w:rsid w:val="00E722E8"/>
    <w:rsid w:val="00E730DA"/>
    <w:rsid w:val="00E77BE9"/>
    <w:rsid w:val="00E9409A"/>
    <w:rsid w:val="00E97D22"/>
    <w:rsid w:val="00E97D47"/>
    <w:rsid w:val="00EA4265"/>
    <w:rsid w:val="00EB1E36"/>
    <w:rsid w:val="00EB2A72"/>
    <w:rsid w:val="00EB3F46"/>
    <w:rsid w:val="00EC1603"/>
    <w:rsid w:val="00EE0DE5"/>
    <w:rsid w:val="00EE2C61"/>
    <w:rsid w:val="00F04664"/>
    <w:rsid w:val="00F0749C"/>
    <w:rsid w:val="00F124DB"/>
    <w:rsid w:val="00F2449F"/>
    <w:rsid w:val="00F27E17"/>
    <w:rsid w:val="00F3498F"/>
    <w:rsid w:val="00F507D8"/>
    <w:rsid w:val="00F658F4"/>
    <w:rsid w:val="00F72692"/>
    <w:rsid w:val="00F75EB8"/>
    <w:rsid w:val="00F84C5E"/>
    <w:rsid w:val="00F96231"/>
    <w:rsid w:val="00FC1E8A"/>
    <w:rsid w:val="00FD5DA0"/>
    <w:rsid w:val="00FF43FF"/>
    <w:rsid w:val="00FF4BDE"/>
    <w:rsid w:val="027B08F2"/>
    <w:rsid w:val="02DE5ECF"/>
    <w:rsid w:val="058E4EB5"/>
    <w:rsid w:val="0AC91BFE"/>
    <w:rsid w:val="0E3C75E8"/>
    <w:rsid w:val="1077238B"/>
    <w:rsid w:val="1AE02876"/>
    <w:rsid w:val="1FB84519"/>
    <w:rsid w:val="20F13C9B"/>
    <w:rsid w:val="238347DF"/>
    <w:rsid w:val="24B477DD"/>
    <w:rsid w:val="278141AB"/>
    <w:rsid w:val="28B578A7"/>
    <w:rsid w:val="2FA770A8"/>
    <w:rsid w:val="322A12C5"/>
    <w:rsid w:val="34AD60CD"/>
    <w:rsid w:val="34B67F89"/>
    <w:rsid w:val="35200F0D"/>
    <w:rsid w:val="368D542E"/>
    <w:rsid w:val="388B134B"/>
    <w:rsid w:val="3D171177"/>
    <w:rsid w:val="436C72A2"/>
    <w:rsid w:val="43CD7F64"/>
    <w:rsid w:val="44B33A23"/>
    <w:rsid w:val="45C91BBA"/>
    <w:rsid w:val="49F8701E"/>
    <w:rsid w:val="4C7F0E23"/>
    <w:rsid w:val="513E1B36"/>
    <w:rsid w:val="55F2290E"/>
    <w:rsid w:val="5A7C6694"/>
    <w:rsid w:val="600E33E1"/>
    <w:rsid w:val="622A303A"/>
    <w:rsid w:val="71184BBD"/>
    <w:rsid w:val="723010AC"/>
    <w:rsid w:val="779B5C31"/>
    <w:rsid w:val="7E1F5A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nhideWhenUsed="0" w:uiPriority="0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3"/>
    <w:basedOn w:val="1"/>
    <w:next w:val="1"/>
    <w:link w:val="30"/>
    <w:semiHidden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1"/>
    <w:next w:val="1"/>
    <w:link w:val="23"/>
    <w:qFormat/>
    <w:uiPriority w:val="0"/>
    <w:pPr>
      <w:keepNext/>
      <w:keepLines/>
      <w:spacing w:before="30" w:beforeLines="30" w:after="30" w:afterLines="30" w:line="264" w:lineRule="auto"/>
      <w:ind w:left="150" w:leftChars="150"/>
      <w:outlineLvl w:val="3"/>
    </w:pPr>
    <w:rPr>
      <w:rFonts w:ascii="Times New Roman" w:hAnsi="Times New Roman" w:eastAsia="方正宋黑_GBK"/>
      <w:color w:val="E4007F"/>
      <w:sz w:val="26"/>
      <w:szCs w:val="20"/>
    </w:rPr>
  </w:style>
  <w:style w:type="paragraph" w:styleId="5">
    <w:name w:val="heading 5"/>
    <w:basedOn w:val="1"/>
    <w:next w:val="1"/>
    <w:link w:val="25"/>
    <w:semiHidden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1"/>
    <w:next w:val="1"/>
    <w:link w:val="26"/>
    <w:semiHidden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caption"/>
    <w:basedOn w:val="1"/>
    <w:next w:val="1"/>
    <w:link w:val="28"/>
    <w:unhideWhenUsed/>
    <w:qFormat/>
    <w:uiPriority w:val="0"/>
    <w:rPr>
      <w:rFonts w:eastAsia="黑体" w:asciiTheme="majorHAnsi" w:hAnsiTheme="majorHAnsi" w:cstheme="majorBidi"/>
      <w:sz w:val="20"/>
      <w:szCs w:val="20"/>
    </w:rPr>
  </w:style>
  <w:style w:type="paragraph" w:styleId="8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1">
    <w:name w:val="Table Grid"/>
    <w:basedOn w:val="10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3">
    <w:name w:val="Heading #2|1"/>
    <w:basedOn w:val="1"/>
    <w:qFormat/>
    <w:uiPriority w:val="0"/>
    <w:pPr>
      <w:spacing w:after="640"/>
      <w:jc w:val="center"/>
      <w:outlineLvl w:val="1"/>
    </w:pPr>
    <w:rPr>
      <w:rFonts w:ascii="宋体" w:hAnsi="宋体" w:cs="宋体"/>
      <w:color w:val="EC008D"/>
      <w:sz w:val="30"/>
      <w:szCs w:val="30"/>
      <w:lang w:val="zh-TW" w:eastAsia="zh-TW" w:bidi="zh-TW"/>
    </w:rPr>
  </w:style>
  <w:style w:type="paragraph" w:customStyle="1" w:styleId="14">
    <w:name w:val="Heading #3|1"/>
    <w:basedOn w:val="1"/>
    <w:link w:val="15"/>
    <w:qFormat/>
    <w:uiPriority w:val="0"/>
    <w:pPr>
      <w:spacing w:after="160"/>
      <w:outlineLvl w:val="2"/>
    </w:pPr>
    <w:rPr>
      <w:rFonts w:ascii="宋体" w:hAnsi="宋体" w:cs="宋体"/>
      <w:color w:val="EC008D"/>
      <w:sz w:val="20"/>
      <w:szCs w:val="20"/>
      <w:lang w:val="zh-TW" w:eastAsia="zh-TW" w:bidi="zh-TW"/>
    </w:rPr>
  </w:style>
  <w:style w:type="character" w:customStyle="1" w:styleId="15">
    <w:name w:val="Heading #3|1 Char"/>
    <w:link w:val="14"/>
    <w:qFormat/>
    <w:uiPriority w:val="0"/>
    <w:rPr>
      <w:rFonts w:ascii="宋体" w:hAnsi="宋体" w:eastAsia="宋体" w:cs="宋体"/>
      <w:color w:val="EC008D"/>
      <w:sz w:val="20"/>
      <w:szCs w:val="20"/>
      <w:lang w:val="zh-TW" w:eastAsia="zh-TW" w:bidi="zh-TW"/>
    </w:rPr>
  </w:style>
  <w:style w:type="paragraph" w:customStyle="1" w:styleId="16">
    <w:name w:val="Body text|1"/>
    <w:basedOn w:val="1"/>
    <w:link w:val="17"/>
    <w:unhideWhenUsed/>
    <w:qFormat/>
    <w:uiPriority w:val="0"/>
    <w:pPr>
      <w:spacing w:line="360" w:lineRule="auto"/>
      <w:ind w:firstLine="400"/>
    </w:pPr>
    <w:rPr>
      <w:rFonts w:ascii="宋体" w:hAnsi="宋体" w:cs="宋体"/>
      <w:sz w:val="20"/>
      <w:szCs w:val="20"/>
      <w:lang w:val="zh-TW" w:eastAsia="zh-TW" w:bidi="zh-TW"/>
    </w:rPr>
  </w:style>
  <w:style w:type="character" w:customStyle="1" w:styleId="17">
    <w:name w:val="Body text|1 Char"/>
    <w:link w:val="16"/>
    <w:qFormat/>
    <w:uiPriority w:val="0"/>
    <w:rPr>
      <w:rFonts w:ascii="宋体" w:hAnsi="宋体" w:eastAsia="宋体" w:cs="宋体"/>
      <w:sz w:val="20"/>
      <w:szCs w:val="20"/>
      <w:lang w:val="zh-TW" w:eastAsia="zh-TW" w:bidi="zh-TW"/>
    </w:rPr>
  </w:style>
  <w:style w:type="character" w:customStyle="1" w:styleId="18">
    <w:name w:val="页眉 Char"/>
    <w:basedOn w:val="12"/>
    <w:link w:val="9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19">
    <w:name w:val="页脚 Char"/>
    <w:basedOn w:val="12"/>
    <w:link w:val="8"/>
    <w:qFormat/>
    <w:uiPriority w:val="99"/>
    <w:rPr>
      <w:rFonts w:ascii="Calibri" w:hAnsi="Calibri" w:eastAsia="宋体" w:cs="Times New Roman"/>
      <w:sz w:val="18"/>
      <w:szCs w:val="18"/>
    </w:rPr>
  </w:style>
  <w:style w:type="paragraph" w:styleId="20">
    <w:name w:val="List Paragraph"/>
    <w:basedOn w:val="1"/>
    <w:qFormat/>
    <w:uiPriority w:val="34"/>
    <w:pPr>
      <w:ind w:firstLine="420" w:firstLineChars="200"/>
    </w:pPr>
  </w:style>
  <w:style w:type="paragraph" w:customStyle="1" w:styleId="21">
    <w:name w:val="知识拓展内容"/>
    <w:basedOn w:val="1"/>
    <w:link w:val="22"/>
    <w:qFormat/>
    <w:uiPriority w:val="0"/>
    <w:pPr>
      <w:pBdr>
        <w:top w:val="single" w:color="FADCE9" w:sz="4" w:space="3"/>
        <w:left w:val="single" w:color="FADCE9" w:sz="4" w:space="4"/>
        <w:bottom w:val="single" w:color="FADCE9" w:sz="4" w:space="3"/>
        <w:right w:val="single" w:color="FADCE9" w:sz="4" w:space="4"/>
      </w:pBdr>
      <w:shd w:val="clear" w:color="auto" w:fill="FADCE9"/>
      <w:spacing w:line="264" w:lineRule="auto"/>
      <w:ind w:left="50" w:leftChars="50" w:right="50" w:rightChars="50" w:firstLine="200" w:firstLineChars="200"/>
    </w:pPr>
    <w:rPr>
      <w:rFonts w:ascii="Times New Roman" w:hAnsi="Times New Roman" w:eastAsia="仿宋_GB2312"/>
      <w:kern w:val="10"/>
      <w:szCs w:val="21"/>
      <w:lang w:val="zh-CN" w:eastAsia="zh-CN"/>
    </w:rPr>
  </w:style>
  <w:style w:type="character" w:customStyle="1" w:styleId="22">
    <w:name w:val="知识拓展内容 Char"/>
    <w:link w:val="21"/>
    <w:qFormat/>
    <w:uiPriority w:val="0"/>
    <w:rPr>
      <w:rFonts w:ascii="Times New Roman" w:hAnsi="Times New Roman" w:eastAsia="仿宋_GB2312" w:cs="Times New Roman"/>
      <w:kern w:val="10"/>
      <w:szCs w:val="21"/>
      <w:shd w:val="clear" w:color="auto" w:fill="FADCE9"/>
      <w:lang w:val="zh-CN" w:eastAsia="zh-CN"/>
    </w:rPr>
  </w:style>
  <w:style w:type="character" w:customStyle="1" w:styleId="23">
    <w:name w:val="标题 4 Char"/>
    <w:basedOn w:val="12"/>
    <w:link w:val="4"/>
    <w:qFormat/>
    <w:uiPriority w:val="0"/>
    <w:rPr>
      <w:rFonts w:ascii="Times New Roman" w:hAnsi="Times New Roman" w:eastAsia="方正宋黑_GBK" w:cs="Times New Roman"/>
      <w:color w:val="E4007F"/>
      <w:sz w:val="26"/>
      <w:szCs w:val="20"/>
    </w:rPr>
  </w:style>
  <w:style w:type="character" w:customStyle="1" w:styleId="24">
    <w:name w:val="字符样式 拼音字体"/>
    <w:qFormat/>
    <w:uiPriority w:val="0"/>
    <w:rPr>
      <w:rFonts w:ascii="PinYinok" w:hAnsi="PinYinok"/>
      <w:sz w:val="24"/>
      <w:szCs w:val="24"/>
    </w:rPr>
  </w:style>
  <w:style w:type="character" w:customStyle="1" w:styleId="25">
    <w:name w:val="标题 5 Char"/>
    <w:basedOn w:val="12"/>
    <w:link w:val="5"/>
    <w:semiHidden/>
    <w:qFormat/>
    <w:uiPriority w:val="9"/>
    <w:rPr>
      <w:rFonts w:ascii="Calibri" w:hAnsi="Calibri" w:eastAsia="宋体" w:cs="Times New Roman"/>
      <w:b/>
      <w:bCs/>
      <w:sz w:val="28"/>
      <w:szCs w:val="28"/>
    </w:rPr>
  </w:style>
  <w:style w:type="character" w:customStyle="1" w:styleId="26">
    <w:name w:val="标题 6 Char"/>
    <w:basedOn w:val="12"/>
    <w:link w:val="6"/>
    <w:semiHidden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paragraph" w:customStyle="1" w:styleId="27">
    <w:name w:val="图片"/>
    <w:basedOn w:val="1"/>
    <w:next w:val="7"/>
    <w:link w:val="29"/>
    <w:qFormat/>
    <w:uiPriority w:val="0"/>
    <w:pPr>
      <w:spacing w:before="120"/>
      <w:jc w:val="center"/>
    </w:pPr>
    <w:rPr>
      <w:rFonts w:ascii="Times New Roman" w:hAnsi="Times New Roman"/>
      <w:szCs w:val="20"/>
    </w:rPr>
  </w:style>
  <w:style w:type="character" w:customStyle="1" w:styleId="28">
    <w:name w:val="题注 Char"/>
    <w:link w:val="7"/>
    <w:qFormat/>
    <w:locked/>
    <w:uiPriority w:val="0"/>
    <w:rPr>
      <w:rFonts w:eastAsia="黑体" w:asciiTheme="majorHAnsi" w:hAnsiTheme="majorHAnsi" w:cstheme="majorBidi"/>
      <w:sz w:val="20"/>
      <w:szCs w:val="20"/>
    </w:rPr>
  </w:style>
  <w:style w:type="character" w:customStyle="1" w:styleId="29">
    <w:name w:val="图片 Char"/>
    <w:link w:val="27"/>
    <w:qFormat/>
    <w:locked/>
    <w:uiPriority w:val="0"/>
    <w:rPr>
      <w:rFonts w:ascii="Times New Roman" w:hAnsi="Times New Roman" w:eastAsia="宋体" w:cs="Times New Roman"/>
      <w:szCs w:val="20"/>
    </w:rPr>
  </w:style>
  <w:style w:type="character" w:customStyle="1" w:styleId="30">
    <w:name w:val="标题 3 Char"/>
    <w:basedOn w:val="12"/>
    <w:link w:val="3"/>
    <w:semiHidden/>
    <w:qFormat/>
    <w:uiPriority w:val="9"/>
    <w:rPr>
      <w:rFonts w:ascii="Calibri" w:hAnsi="Calibri" w:eastAsia="宋体" w:cs="Times New Roman"/>
      <w:b/>
      <w:bCs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8245</Words>
  <Characters>8770</Characters>
  <Lines>1</Lines>
  <Paragraphs>1</Paragraphs>
  <TotalTime>0</TotalTime>
  <ScaleCrop>false</ScaleCrop>
  <LinksUpToDate>false</LinksUpToDate>
  <CharactersWithSpaces>9244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2021-06-08T10:03:00Z</dcterms:created>
  <dc:creator>DELL</dc:creator>
  <cp:lastModifiedBy>Administrator</cp:lastModifiedBy>
  <dcterms:modified xsi:type="dcterms:W3CDTF">2025-09-05T02:07:20Z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C2C0F08D042C42EFAA7FA92164594F5A_13</vt:lpwstr>
  </property>
  <property fmtid="{D5CDD505-2E9C-101B-9397-08002B2CF9AE}" pid="4" name="KSOTemplateDocerSaveRecord">
    <vt:lpwstr>eyJoZGlkIjoiMGQ2MWZjZjk2MDJkNDExMGZjMzQxZTk4OTVmYzBiNzYifQ==</vt:lpwstr>
  </property>
</Properties>
</file>